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10" w:rsidRDefault="00AE4510" w:rsidP="00103876">
      <w:pPr>
        <w:ind w:left="-284"/>
        <w:jc w:val="both"/>
        <w:rPr>
          <w:color w:val="000000"/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2334"/>
      </w:tblGrid>
      <w:tr w:rsidR="00AE4510" w:rsidRPr="00AE4510" w:rsidTr="00AE4510">
        <w:trPr>
          <w:tblCellSpacing w:w="0" w:type="dxa"/>
        </w:trPr>
        <w:tc>
          <w:tcPr>
            <w:tcW w:w="9000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E4510" w:rsidRPr="00AE451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E4510">
                    <w:rPr>
                      <w:rFonts w:ascii="Tahoma" w:hAnsi="Tahoma" w:cs="Tahoma"/>
                      <w:b/>
                      <w:bCs/>
                      <w:color w:val="5674B9"/>
                      <w:sz w:val="18"/>
                      <w:szCs w:val="18"/>
                    </w:rPr>
                    <w:t>ИНФОРМАЦИЯ О ПУБЛИКАЦИИ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F5F5F5"/>
            <w:vAlign w:val="center"/>
            <w:hideMark/>
          </w:tcPr>
          <w:p w:rsidR="00AE4510" w:rsidRPr="00AE4510" w:rsidRDefault="00AE4510" w:rsidP="00AE451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4510"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1647825" cy="466725"/>
                      <wp:effectExtent l="0" t="0" r="0" b="0"/>
                      <wp:docPr id="18" name="Прямоугольник 18" descr="https://www.elibrary.ru/images/scienceindex_logo2.svg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92CB0" id="Прямоугольник 18" o:spid="_x0000_s1026" alt="https://www.elibrary.ru/images/scienceindex_logo2.svg" href="https://www.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E4510" w:rsidRPr="00AE4510" w:rsidTr="00AE45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2062"/>
              <w:gridCol w:w="1238"/>
              <w:gridCol w:w="413"/>
              <w:gridCol w:w="4373"/>
            </w:tblGrid>
            <w:tr w:rsidR="00AE4510" w:rsidRPr="00AE4510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:rsidR="00AE4510" w:rsidRPr="00AE4510" w:rsidRDefault="00AE4510" w:rsidP="00AE4510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eLIBRARY</w:t>
                  </w:r>
                  <w:proofErr w:type="spellEnd"/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 xml:space="preserve"> ID: </w:t>
                  </w:r>
                  <w:hyperlink r:id="rId9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50480521</w:t>
                    </w:r>
                  </w:hyperlink>
                </w:p>
              </w:tc>
              <w:tc>
                <w:tcPr>
                  <w:tcW w:w="750" w:type="pct"/>
                  <w:vAlign w:val="center"/>
                  <w:hideMark/>
                </w:tcPr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EDN: </w:t>
                  </w:r>
                  <w:hyperlink r:id="rId10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WMHZTD</w:t>
                    </w:r>
                  </w:hyperlink>
                </w:p>
              </w:tc>
              <w:tc>
                <w:tcPr>
                  <w:tcW w:w="250" w:type="pct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" name="Рисунок 17" descr="https://www.elibrary.ru/images/qr_code2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elibrary.ru/images/qr_code2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8152"/>
            </w:tblGrid>
            <w:tr w:rsidR="00AE4510" w:rsidRPr="00AE4510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10" w:type="dxa"/>
                  <w:vAlign w:val="center"/>
                  <w:hideMark/>
                </w:tcPr>
                <w:p w:rsidR="00AE4510" w:rsidRPr="00AE4510" w:rsidRDefault="00AE4510" w:rsidP="00AE4510">
                  <w:pPr>
                    <w:spacing w:before="120"/>
                    <w:ind w:firstLine="450"/>
                    <w:jc w:val="center"/>
                    <w:rPr>
                      <w:rFonts w:ascii="Tahoma" w:hAnsi="Tahoma" w:cs="Tahoma"/>
                      <w:b/>
                      <w:bCs/>
                      <w:color w:val="F26C4F"/>
                      <w:sz w:val="20"/>
                    </w:rPr>
                  </w:pPr>
                  <w:r w:rsidRPr="00AE4510">
                    <w:rPr>
                      <w:rFonts w:ascii="Tahoma" w:hAnsi="Tahoma" w:cs="Tahoma"/>
                      <w:b/>
                      <w:bCs/>
                      <w:color w:val="F26C4F"/>
                      <w:sz w:val="20"/>
                    </w:rPr>
                    <w:t>СИНТЕЗ АДАПТИВНЫХ БЛОКОВ НЕЛИНЕЙНЫХ ПРЕОБРАЗОВАНИЙ СЛЕДЯЩИХ ИЗМЕРИТЕЛЕЙ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b/>
                      <w:bCs/>
                      <w:color w:val="00008F"/>
                      <w:sz w:val="16"/>
                      <w:szCs w:val="16"/>
                    </w:rPr>
                    <w:t>АРТЮШЕНКО В.М.</w:t>
                  </w: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,</w:t>
                  </w:r>
                </w:p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b/>
                      <w:bCs/>
                      <w:color w:val="00008F"/>
                      <w:sz w:val="16"/>
                      <w:szCs w:val="16"/>
                    </w:rPr>
                    <w:t>ВОЛОВАЧ В.И.</w:t>
                  </w: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Технологический университет им. А.А. Леонова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br/>
                  </w: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Поволжский государственный университет сервиса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br/>
                    <w:t>Рецензенты: </w:t>
                  </w:r>
                </w:p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СЕМЕНОВ А.Б.</w:t>
                  </w: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Национальный исследовательский Московский государственный строительный университет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Тип: </w:t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статья в сборнике трудов конференции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Язык: </w:t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русский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Год издания: </w:t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2023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AE4510" w:rsidRPr="00AE4510" w:rsidRDefault="00AE4510" w:rsidP="00AE451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Страницы: </w:t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37-51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ИСТОЧНИК: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hyperlink r:id="rId13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ЭВОЛЮЦИОННЫЕ ПРОЦЕССЫ ИНФОРМАЦИОННЫХ ТЕХНОЛОГИЙ</w:t>
                    </w:r>
                  </w:hyperlink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br/>
                    <w:t>8-я Международная научно-техническая конференция. Бургас, 2023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br/>
                    <w:t>Издательство: </w:t>
                  </w:r>
                  <w:hyperlink r:id="rId14" w:tooltip="Список публикаций этого издательства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 xml:space="preserve">Институт за </w:t>
                    </w:r>
                    <w:proofErr w:type="spellStart"/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хуманитарни</w:t>
                    </w:r>
                    <w:proofErr w:type="spellEnd"/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 xml:space="preserve"> науки, </w:t>
                    </w:r>
                    <w:proofErr w:type="spellStart"/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икономика</w:t>
                    </w:r>
                    <w:proofErr w:type="spellEnd"/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информационни</w:t>
                    </w:r>
                    <w:proofErr w:type="spellEnd"/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 xml:space="preserve"> технологии=Институт гуманитарных наук, экономики и информационных наук</w:t>
                    </w:r>
                  </w:hyperlink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(Бургас)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КОНФЕРЕНЦИЯ: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ЭВОЛЮЦИОННЫЕ ПРОЦЕССЫ ИНФОРМАЦИОННЫХ ТЕХНОЛОГИЙ</w:t>
                  </w: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br/>
                  </w:r>
                  <w:r w:rsidRPr="00AE4510"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Москва, 04 апреля 2023 года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КЛЮЧЕВЫЕ СЛОВА: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hyperlink r:id="rId15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СЛЕДЯЩИЙ ИЗМЕРИТЕЛЬ</w:t>
                    </w:r>
                  </w:hyperlink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, </w:t>
                  </w:r>
                  <w:hyperlink r:id="rId16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ПЛОТНОСТЬ РАСПРЕДЕЛЕНИЯ ВЕРОЯТНОСТЕЙ МГНОВЕННЫХ ЗНАЧЕНИЙ ВОЗДЕЙСТВУЮЩЕЙ ПОМЕХИ</w:t>
                    </w:r>
                  </w:hyperlink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, </w:t>
                  </w:r>
                  <w:hyperlink r:id="rId17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АДАПТИВНЫЕ БЛОКИ НЕЛИНЕЙНЫХ ПРЕОБРАЗОВАНИЙ</w:t>
                    </w:r>
                  </w:hyperlink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, </w:t>
                  </w:r>
                  <w:hyperlink r:id="rId18" w:history="1">
                    <w:r w:rsidRPr="00AE4510">
                      <w:rPr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АМПЛИТУДНАЯ ХАРАКТЕРИСТИКА</w:t>
                    </w:r>
                  </w:hyperlink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АННОТАЦИЯ: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AE4510" w:rsidRPr="00AE4510" w:rsidRDefault="00AE4510" w:rsidP="00AE4510">
                  <w:pPr>
                    <w:spacing w:before="120"/>
                    <w:ind w:firstLine="45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Рассмотрены и проанализированы вопросы, связанные с синтезом алгоритмов адаптивной нелинейной обработки следящих измерителей, реализуемые с помощью блоков нелинейных преобразований с обратной связью с учетом конечного отношения сигнал/помеха (ОСП) на их входе. Осуществлена оптимизация характеристик блоков нелинейного преобразования (БНП) при воздействии широкополосных помех и помех с полосовым спектром. Рассмотрен робастный подход определения оптимальных параметров БНП и величины минимума среднеквадратической ошибки при конечном ОСП.</w:t>
                  </w: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БИБЛИОМЕТРИЧЕСКИЕ ПОКАЗАТЕЛИ: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2"/>
                    <w:gridCol w:w="3667"/>
                  </w:tblGrid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260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6" name="Рисунок 16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Входит в РИНЦ: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да</w:t>
                        </w:r>
                      </w:p>
                    </w:tc>
                    <w:tc>
                      <w:tcPr>
                        <w:tcW w:w="240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5" name="Рисунок 15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Цитирований в РИНЦ: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4" name="Рисунок 14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Входит в ядро РИНЦ: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3" name="Рисунок 13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Цитирований из ядра РИНЦ: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2" name="Рисунок 12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Норм. цитируемость по направлению: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1" name="Рисунок 11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Дециль в рейтинге по направлению: </w:t>
                        </w:r>
                      </w:p>
                    </w:tc>
                  </w:tr>
                </w:tbl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ТЕМАТИЧЕСКИЕ РУБРИКИ: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  <w:gridCol w:w="5446"/>
                  </w:tblGrid>
                  <w:tr w:rsidR="00AE4510" w:rsidRPr="00AE451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0" name="Рисунок 10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OECD: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"javascript:item_oecd_add()" \o "Добавить или изменить рубрику OECD" </w:instrTex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AE4510">
                          <w:rPr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AE4510" w:rsidRPr="00AE4510" w:rsidRDefault="00AE4510" w:rsidP="00AE4510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3"/>
                    <w:gridCol w:w="5506"/>
                  </w:tblGrid>
                  <w:tr w:rsidR="00AE4510" w:rsidRPr="00AE451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lastRenderedPageBreak/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9" name="Рисунок 9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ASJC: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"javascript:item_asjc_add()" \o "Добавить или изменить рубрику ASJC" </w:instrTex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AE4510">
                          <w:rPr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AE4510" w:rsidRPr="00AE4510" w:rsidRDefault="00AE4510" w:rsidP="00AE4510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3"/>
                    <w:gridCol w:w="5376"/>
                  </w:tblGrid>
                  <w:tr w:rsidR="00AE4510" w:rsidRPr="00AE451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8" name="Рисунок 8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ГРНТИ: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"javascript:item_grnti_add()" \o "Добавить или изменить основную рубрику публикации" </w:instrTex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AE4510">
                          <w:rPr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AE4510" w:rsidRPr="00AE4510" w:rsidRDefault="00AE4510" w:rsidP="00AE4510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4"/>
                    <w:gridCol w:w="5055"/>
                  </w:tblGrid>
                  <w:tr w:rsidR="00AE4510" w:rsidRPr="00AE451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7" name="Рисунок 7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Специальность ВАК: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hyperlink r:id="rId20" w:tooltip="Добавить или изменить специальность ВАК" w:history="1">
                          <w:r w:rsidRPr="00AE4510">
                            <w:rPr>
                              <w:rFonts w:ascii="Tahoma" w:hAnsi="Tahoma" w:cs="Tahoma"/>
                              <w:color w:val="F26C4F"/>
                              <w:sz w:val="16"/>
                              <w:szCs w:val="16"/>
                            </w:rPr>
                            <w:t>добавить</w:t>
                          </w:r>
                        </w:hyperlink>
                        <w:r w:rsidRPr="00AE4510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AE4510" w:rsidRPr="00AE4510" w:rsidTr="00AE451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АЛЬТМЕТРИКИ:</w:t>
                  </w:r>
                </w:p>
              </w:tc>
            </w:tr>
            <w:tr w:rsidR="00AE4510" w:rsidRPr="00AE4510" w:rsidTr="00AE451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E4510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1"/>
                    <w:gridCol w:w="2674"/>
                    <w:gridCol w:w="2674"/>
                  </w:tblGrid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6" name="Рисунок 6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Просмотров: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5" name="Рисунок 5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Загрузок: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4" name="Рисунок 4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Включено в подборки: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AE4510" w:rsidRPr="00AE4510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" name="Рисунок 3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Всего оценок: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" name="Рисунок 2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Средняя оценка: 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AE4510" w:rsidRPr="00AE4510" w:rsidRDefault="00AE4510" w:rsidP="00AE451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451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" name="Рисунок 1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E451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Всего отзывов: </w:t>
                        </w:r>
                        <w:r w:rsidRPr="00AE4510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AE4510" w:rsidRPr="00AE4510" w:rsidRDefault="00AE4510" w:rsidP="00AE451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AE4510" w:rsidRPr="00AE4510" w:rsidRDefault="00AE4510" w:rsidP="00AE451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E4510" w:rsidRPr="00AE4510" w:rsidRDefault="00AE4510" w:rsidP="00AE4510">
            <w:pPr>
              <w:rPr>
                <w:sz w:val="20"/>
              </w:rPr>
            </w:pPr>
          </w:p>
        </w:tc>
      </w:tr>
    </w:tbl>
    <w:p w:rsidR="00AE4510" w:rsidRDefault="00AE4510" w:rsidP="00AE4510">
      <w:pPr>
        <w:rPr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</w:p>
    <w:p w:rsidR="00492240" w:rsidRPr="00AE4510" w:rsidRDefault="00492240" w:rsidP="00AE4510">
      <w:pPr>
        <w:ind w:firstLine="708"/>
        <w:rPr>
          <w:szCs w:val="24"/>
        </w:rPr>
      </w:pPr>
      <w:bookmarkStart w:id="0" w:name="_GoBack"/>
      <w:bookmarkEnd w:id="0"/>
    </w:p>
    <w:sectPr w:rsidR="00492240" w:rsidRPr="00AE4510" w:rsidSect="00207380">
      <w:headerReference w:type="default" r:id="rId21"/>
      <w:footerReference w:type="default" r:id="rId22"/>
      <w:pgSz w:w="11906" w:h="16838"/>
      <w:pgMar w:top="0" w:right="567" w:bottom="28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E5" w:rsidRDefault="00856AE5" w:rsidP="001D3C6A">
      <w:r>
        <w:separator/>
      </w:r>
    </w:p>
  </w:endnote>
  <w:endnote w:type="continuationSeparator" w:id="0">
    <w:p w:rsidR="00856AE5" w:rsidRDefault="00856AE5" w:rsidP="001D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8D" w:rsidRDefault="00565B8D">
    <w:pPr>
      <w:pStyle w:val="aa"/>
      <w:jc w:val="right"/>
    </w:pPr>
  </w:p>
  <w:p w:rsidR="00565B8D" w:rsidRDefault="00565B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E5" w:rsidRDefault="00856AE5" w:rsidP="001D3C6A">
      <w:r>
        <w:separator/>
      </w:r>
    </w:p>
  </w:footnote>
  <w:footnote w:type="continuationSeparator" w:id="0">
    <w:p w:rsidR="00856AE5" w:rsidRDefault="00856AE5" w:rsidP="001D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E4" w:rsidRPr="00565B8D" w:rsidRDefault="00A10AE4" w:rsidP="00565B8D">
    <w:pPr>
      <w:jc w:val="center"/>
      <w:rPr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5FA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26EB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D3D11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89D"/>
    <w:multiLevelType w:val="hybridMultilevel"/>
    <w:tmpl w:val="305230D8"/>
    <w:lvl w:ilvl="0" w:tplc="155257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4ED"/>
    <w:multiLevelType w:val="hybridMultilevel"/>
    <w:tmpl w:val="FD8A5B48"/>
    <w:lvl w:ilvl="0" w:tplc="8F180A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815"/>
    <w:multiLevelType w:val="hybridMultilevel"/>
    <w:tmpl w:val="5CBE7E2C"/>
    <w:lvl w:ilvl="0" w:tplc="351283A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5166"/>
    <w:multiLevelType w:val="hybridMultilevel"/>
    <w:tmpl w:val="FC70135A"/>
    <w:lvl w:ilvl="0" w:tplc="1394637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25194"/>
    <w:multiLevelType w:val="hybridMultilevel"/>
    <w:tmpl w:val="BDA6291C"/>
    <w:lvl w:ilvl="0" w:tplc="705864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792"/>
    <w:multiLevelType w:val="hybridMultilevel"/>
    <w:tmpl w:val="14EE66D8"/>
    <w:lvl w:ilvl="0" w:tplc="ED3CC6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3259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03450F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F0CD9"/>
    <w:multiLevelType w:val="hybridMultilevel"/>
    <w:tmpl w:val="F1944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9C32FF"/>
    <w:multiLevelType w:val="hybridMultilevel"/>
    <w:tmpl w:val="2AE4BF3C"/>
    <w:lvl w:ilvl="0" w:tplc="2DEAED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12E5A"/>
    <w:multiLevelType w:val="hybridMultilevel"/>
    <w:tmpl w:val="E110DD0A"/>
    <w:lvl w:ilvl="0" w:tplc="607602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674"/>
    <w:multiLevelType w:val="hybridMultilevel"/>
    <w:tmpl w:val="B9C2DA9C"/>
    <w:lvl w:ilvl="0" w:tplc="B55881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50CA2"/>
    <w:multiLevelType w:val="hybridMultilevel"/>
    <w:tmpl w:val="BE5A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84F5E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4A9F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093448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DB5E3C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4"/>
    <w:multiLevelType w:val="hybridMultilevel"/>
    <w:tmpl w:val="45146CEC"/>
    <w:lvl w:ilvl="0" w:tplc="C98E09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3"/>
    <w:multiLevelType w:val="hybridMultilevel"/>
    <w:tmpl w:val="32344D6A"/>
    <w:lvl w:ilvl="0" w:tplc="2AF8E018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E3AE5"/>
    <w:multiLevelType w:val="hybridMultilevel"/>
    <w:tmpl w:val="5C56C51C"/>
    <w:lvl w:ilvl="0" w:tplc="836C53C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D4E99"/>
    <w:multiLevelType w:val="hybridMultilevel"/>
    <w:tmpl w:val="FB5A6010"/>
    <w:lvl w:ilvl="0" w:tplc="9BD23A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0C08"/>
    <w:multiLevelType w:val="hybridMultilevel"/>
    <w:tmpl w:val="6C7C4B94"/>
    <w:lvl w:ilvl="0" w:tplc="748211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B37D1"/>
    <w:multiLevelType w:val="hybridMultilevel"/>
    <w:tmpl w:val="FE98B2AA"/>
    <w:lvl w:ilvl="0" w:tplc="79E821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3CB3"/>
    <w:multiLevelType w:val="hybridMultilevel"/>
    <w:tmpl w:val="AF1EC1B4"/>
    <w:lvl w:ilvl="0" w:tplc="DFBA932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5077B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D81AA1"/>
    <w:multiLevelType w:val="hybridMultilevel"/>
    <w:tmpl w:val="B478EBCC"/>
    <w:lvl w:ilvl="0" w:tplc="8C0C19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2FBE"/>
    <w:multiLevelType w:val="hybridMultilevel"/>
    <w:tmpl w:val="B9161614"/>
    <w:lvl w:ilvl="0" w:tplc="79669B6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B01B4"/>
    <w:multiLevelType w:val="hybridMultilevel"/>
    <w:tmpl w:val="FD5670F4"/>
    <w:lvl w:ilvl="0" w:tplc="F54624A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54A50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65F84"/>
    <w:multiLevelType w:val="hybridMultilevel"/>
    <w:tmpl w:val="243A3FEC"/>
    <w:lvl w:ilvl="0" w:tplc="264466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39BA"/>
    <w:multiLevelType w:val="hybridMultilevel"/>
    <w:tmpl w:val="9086D04E"/>
    <w:lvl w:ilvl="0" w:tplc="EDE064B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7"/>
  </w:num>
  <w:num w:numId="5">
    <w:abstractNumId w:val="18"/>
  </w:num>
  <w:num w:numId="6">
    <w:abstractNumId w:val="28"/>
  </w:num>
  <w:num w:numId="7">
    <w:abstractNumId w:val="32"/>
  </w:num>
  <w:num w:numId="8">
    <w:abstractNumId w:val="22"/>
  </w:num>
  <w:num w:numId="9">
    <w:abstractNumId w:val="30"/>
  </w:num>
  <w:num w:numId="10">
    <w:abstractNumId w:val="5"/>
  </w:num>
  <w:num w:numId="11">
    <w:abstractNumId w:val="29"/>
  </w:num>
  <w:num w:numId="12">
    <w:abstractNumId w:val="1"/>
  </w:num>
  <w:num w:numId="13">
    <w:abstractNumId w:val="31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12"/>
  </w:num>
  <w:num w:numId="19">
    <w:abstractNumId w:val="23"/>
  </w:num>
  <w:num w:numId="20">
    <w:abstractNumId w:val="26"/>
  </w:num>
  <w:num w:numId="21">
    <w:abstractNumId w:val="4"/>
  </w:num>
  <w:num w:numId="22">
    <w:abstractNumId w:val="7"/>
  </w:num>
  <w:num w:numId="23">
    <w:abstractNumId w:val="16"/>
  </w:num>
  <w:num w:numId="24">
    <w:abstractNumId w:val="25"/>
  </w:num>
  <w:num w:numId="25">
    <w:abstractNumId w:val="6"/>
  </w:num>
  <w:num w:numId="26">
    <w:abstractNumId w:val="14"/>
  </w:num>
  <w:num w:numId="27">
    <w:abstractNumId w:val="13"/>
  </w:num>
  <w:num w:numId="28">
    <w:abstractNumId w:val="20"/>
  </w:num>
  <w:num w:numId="29">
    <w:abstractNumId w:val="24"/>
  </w:num>
  <w:num w:numId="30">
    <w:abstractNumId w:val="33"/>
  </w:num>
  <w:num w:numId="31">
    <w:abstractNumId w:val="19"/>
  </w:num>
  <w:num w:numId="32">
    <w:abstractNumId w:val="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55"/>
    <w:rsid w:val="000109A2"/>
    <w:rsid w:val="00031C16"/>
    <w:rsid w:val="00032FEE"/>
    <w:rsid w:val="0006279D"/>
    <w:rsid w:val="000748FC"/>
    <w:rsid w:val="000C19CE"/>
    <w:rsid w:val="000C2FB0"/>
    <w:rsid w:val="000F1BB7"/>
    <w:rsid w:val="00103876"/>
    <w:rsid w:val="00104946"/>
    <w:rsid w:val="001274B8"/>
    <w:rsid w:val="00136583"/>
    <w:rsid w:val="00140259"/>
    <w:rsid w:val="00155340"/>
    <w:rsid w:val="00167458"/>
    <w:rsid w:val="00171DF4"/>
    <w:rsid w:val="001961BA"/>
    <w:rsid w:val="001A133A"/>
    <w:rsid w:val="001A2DFE"/>
    <w:rsid w:val="001A3729"/>
    <w:rsid w:val="001D3C6A"/>
    <w:rsid w:val="001D65D4"/>
    <w:rsid w:val="001E7F7E"/>
    <w:rsid w:val="00207380"/>
    <w:rsid w:val="00230570"/>
    <w:rsid w:val="002516B2"/>
    <w:rsid w:val="00275E1C"/>
    <w:rsid w:val="002F17F2"/>
    <w:rsid w:val="002F1B85"/>
    <w:rsid w:val="003138A6"/>
    <w:rsid w:val="003213C7"/>
    <w:rsid w:val="00327286"/>
    <w:rsid w:val="00327503"/>
    <w:rsid w:val="0037268C"/>
    <w:rsid w:val="003D4157"/>
    <w:rsid w:val="003E3EC9"/>
    <w:rsid w:val="003E5856"/>
    <w:rsid w:val="003F2396"/>
    <w:rsid w:val="00402F37"/>
    <w:rsid w:val="004057BE"/>
    <w:rsid w:val="004132A3"/>
    <w:rsid w:val="00437004"/>
    <w:rsid w:val="004541C4"/>
    <w:rsid w:val="00456727"/>
    <w:rsid w:val="00456E8F"/>
    <w:rsid w:val="004706D5"/>
    <w:rsid w:val="00492240"/>
    <w:rsid w:val="004B7364"/>
    <w:rsid w:val="004C4838"/>
    <w:rsid w:val="004D3814"/>
    <w:rsid w:val="004E752A"/>
    <w:rsid w:val="0050133A"/>
    <w:rsid w:val="00501528"/>
    <w:rsid w:val="005037C2"/>
    <w:rsid w:val="00523F79"/>
    <w:rsid w:val="00546C40"/>
    <w:rsid w:val="00565B8D"/>
    <w:rsid w:val="00573C11"/>
    <w:rsid w:val="005872F9"/>
    <w:rsid w:val="005A0302"/>
    <w:rsid w:val="005A094E"/>
    <w:rsid w:val="005A65A7"/>
    <w:rsid w:val="005A67C7"/>
    <w:rsid w:val="005D7125"/>
    <w:rsid w:val="005E1037"/>
    <w:rsid w:val="005F0DFF"/>
    <w:rsid w:val="00607465"/>
    <w:rsid w:val="00624408"/>
    <w:rsid w:val="006277A9"/>
    <w:rsid w:val="00633605"/>
    <w:rsid w:val="0065411B"/>
    <w:rsid w:val="006A7209"/>
    <w:rsid w:val="006C3CDC"/>
    <w:rsid w:val="006F40A5"/>
    <w:rsid w:val="00715285"/>
    <w:rsid w:val="007159F0"/>
    <w:rsid w:val="00721C9F"/>
    <w:rsid w:val="00730DC5"/>
    <w:rsid w:val="00752CBB"/>
    <w:rsid w:val="007832BC"/>
    <w:rsid w:val="0080346E"/>
    <w:rsid w:val="0081327F"/>
    <w:rsid w:val="00853DD7"/>
    <w:rsid w:val="00856AE5"/>
    <w:rsid w:val="00856F13"/>
    <w:rsid w:val="008726AB"/>
    <w:rsid w:val="0087667B"/>
    <w:rsid w:val="00893640"/>
    <w:rsid w:val="008B14DE"/>
    <w:rsid w:val="008B1ED6"/>
    <w:rsid w:val="008B20C8"/>
    <w:rsid w:val="008B3F4F"/>
    <w:rsid w:val="008D0346"/>
    <w:rsid w:val="008E53F2"/>
    <w:rsid w:val="00902313"/>
    <w:rsid w:val="009037BB"/>
    <w:rsid w:val="00911B17"/>
    <w:rsid w:val="009159F2"/>
    <w:rsid w:val="0095136A"/>
    <w:rsid w:val="009661EA"/>
    <w:rsid w:val="00990C08"/>
    <w:rsid w:val="00992400"/>
    <w:rsid w:val="0099663B"/>
    <w:rsid w:val="009A2FBD"/>
    <w:rsid w:val="009C4156"/>
    <w:rsid w:val="00A10AE4"/>
    <w:rsid w:val="00A10CF8"/>
    <w:rsid w:val="00A342AF"/>
    <w:rsid w:val="00A378B6"/>
    <w:rsid w:val="00A56606"/>
    <w:rsid w:val="00AA6C07"/>
    <w:rsid w:val="00AB0821"/>
    <w:rsid w:val="00AE4510"/>
    <w:rsid w:val="00AF5479"/>
    <w:rsid w:val="00AF59E6"/>
    <w:rsid w:val="00AF6D63"/>
    <w:rsid w:val="00B07583"/>
    <w:rsid w:val="00B34A1C"/>
    <w:rsid w:val="00B37E7F"/>
    <w:rsid w:val="00B547AC"/>
    <w:rsid w:val="00B645A3"/>
    <w:rsid w:val="00B704CA"/>
    <w:rsid w:val="00B76DC0"/>
    <w:rsid w:val="00BD62C5"/>
    <w:rsid w:val="00C00631"/>
    <w:rsid w:val="00C02150"/>
    <w:rsid w:val="00C02E97"/>
    <w:rsid w:val="00C07D83"/>
    <w:rsid w:val="00C170CA"/>
    <w:rsid w:val="00C52DD5"/>
    <w:rsid w:val="00C6131D"/>
    <w:rsid w:val="00CD296D"/>
    <w:rsid w:val="00CD64CA"/>
    <w:rsid w:val="00CE181C"/>
    <w:rsid w:val="00CF2AE9"/>
    <w:rsid w:val="00CF6B36"/>
    <w:rsid w:val="00D40A83"/>
    <w:rsid w:val="00D50EE2"/>
    <w:rsid w:val="00D83DA9"/>
    <w:rsid w:val="00D83DE8"/>
    <w:rsid w:val="00D906D5"/>
    <w:rsid w:val="00DD5D64"/>
    <w:rsid w:val="00DE3D27"/>
    <w:rsid w:val="00DE743E"/>
    <w:rsid w:val="00E073D3"/>
    <w:rsid w:val="00E15C68"/>
    <w:rsid w:val="00E30472"/>
    <w:rsid w:val="00E3458D"/>
    <w:rsid w:val="00E61764"/>
    <w:rsid w:val="00E67672"/>
    <w:rsid w:val="00EA1055"/>
    <w:rsid w:val="00EC0CD6"/>
    <w:rsid w:val="00EC3DE3"/>
    <w:rsid w:val="00EC5399"/>
    <w:rsid w:val="00EE567D"/>
    <w:rsid w:val="00EF7955"/>
    <w:rsid w:val="00F072DB"/>
    <w:rsid w:val="00F36AB9"/>
    <w:rsid w:val="00F400DC"/>
    <w:rsid w:val="00F470D1"/>
    <w:rsid w:val="00F71C82"/>
    <w:rsid w:val="00F864A2"/>
    <w:rsid w:val="00FA0E09"/>
    <w:rsid w:val="00FB4CF1"/>
    <w:rsid w:val="00FC2D98"/>
    <w:rsid w:val="00FD086A"/>
    <w:rsid w:val="00FD15DB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B6DF6-42EF-4CEC-BCBB-CBE00C6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D3C6A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3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D3C6A"/>
    <w:rPr>
      <w:vertAlign w:val="superscript"/>
    </w:rPr>
  </w:style>
  <w:style w:type="paragraph" w:customStyle="1" w:styleId="1KGK9">
    <w:name w:val="1KG=K9"/>
    <w:rsid w:val="001D3C6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C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A6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6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138A6"/>
    <w:pPr>
      <w:ind w:left="720"/>
      <w:contextualSpacing/>
    </w:pPr>
  </w:style>
  <w:style w:type="table" w:styleId="ad">
    <w:name w:val="Table Grid"/>
    <w:basedOn w:val="a1"/>
    <w:uiPriority w:val="59"/>
    <w:rsid w:val="007159F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AE4510"/>
    <w:rPr>
      <w:color w:val="0000FF"/>
      <w:u w:val="single"/>
    </w:rPr>
  </w:style>
  <w:style w:type="paragraph" w:customStyle="1" w:styleId="bigtext">
    <w:name w:val="bigtext"/>
    <w:basedOn w:val="a"/>
    <w:rsid w:val="00AE4510"/>
    <w:pPr>
      <w:spacing w:before="100" w:beforeAutospacing="1" w:after="100" w:afterAutospacing="1"/>
    </w:pPr>
    <w:rPr>
      <w:szCs w:val="24"/>
    </w:rPr>
  </w:style>
  <w:style w:type="character" w:customStyle="1" w:styleId="help">
    <w:name w:val="help"/>
    <w:basedOn w:val="a0"/>
    <w:rsid w:val="00AE4510"/>
  </w:style>
  <w:style w:type="character" w:customStyle="1" w:styleId="help1">
    <w:name w:val="help1"/>
    <w:basedOn w:val="a0"/>
    <w:rsid w:val="00AE4510"/>
  </w:style>
  <w:style w:type="paragraph" w:styleId="af">
    <w:name w:val="Normal (Web)"/>
    <w:basedOn w:val="a"/>
    <w:uiPriority w:val="99"/>
    <w:semiHidden/>
    <w:unhideWhenUsed/>
    <w:rsid w:val="00AE45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4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project_risc.asp" TargetMode="External"/><Relationship Id="rId13" Type="http://schemas.openxmlformats.org/officeDocument/2006/relationships/hyperlink" Target="https://www.elibrary.ru/item.asp?id=50480516&amp;selid=50480521" TargetMode="External"/><Relationship Id="rId18" Type="http://schemas.openxmlformats.org/officeDocument/2006/relationships/hyperlink" Target="https://www.elibrary.ru/keyword_items.asp?id=430797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elibrary.ru/keyword_items.asp?id=150116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keyword_items.asp?id=14543399" TargetMode="External"/><Relationship Id="rId20" Type="http://schemas.openxmlformats.org/officeDocument/2006/relationships/hyperlink" Target="javascript:item_vak_add(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qr_code(%22wmhztd%22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keyword_items.asp?id=58449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wmhztd" TargetMode="External"/><Relationship Id="rId19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50480521" TargetMode="External"/><Relationship Id="rId14" Type="http://schemas.openxmlformats.org/officeDocument/2006/relationships/hyperlink" Target="https://www.elibrary.ru/publisher_about.asp?pubsid=153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9CAE-C952-4EF9-B0DD-850AE47F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Новичкова Наталья Борисовна</dc:creator>
  <cp:lastModifiedBy>Артюшенко Владимир Михайлович</cp:lastModifiedBy>
  <cp:revision>3</cp:revision>
  <cp:lastPrinted>2021-06-08T06:34:00Z</cp:lastPrinted>
  <dcterms:created xsi:type="dcterms:W3CDTF">2023-05-22T08:20:00Z</dcterms:created>
  <dcterms:modified xsi:type="dcterms:W3CDTF">2023-05-31T06:12:00Z</dcterms:modified>
</cp:coreProperties>
</file>