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70" w:rsidRPr="009A1B45" w:rsidRDefault="00CB3470" w:rsidP="00CB3470">
      <w:pPr>
        <w:ind w:firstLine="0"/>
      </w:pPr>
      <w:r w:rsidRPr="009A1B45">
        <w:t>УДК 681.3.07</w:t>
      </w:r>
    </w:p>
    <w:p w:rsidR="00CB3470" w:rsidRDefault="00CB3470" w:rsidP="00CB3470">
      <w:pPr>
        <w:jc w:val="center"/>
        <w:rPr>
          <w:b/>
          <w:sz w:val="28"/>
          <w:szCs w:val="28"/>
        </w:rPr>
      </w:pPr>
      <w:r w:rsidRPr="004974E1">
        <w:rPr>
          <w:b/>
          <w:sz w:val="28"/>
          <w:szCs w:val="28"/>
        </w:rPr>
        <w:t>Мет</w:t>
      </w:r>
      <w:r>
        <w:rPr>
          <w:b/>
          <w:sz w:val="28"/>
          <w:szCs w:val="28"/>
        </w:rPr>
        <w:t>од распознавания типов объектов</w:t>
      </w:r>
    </w:p>
    <w:p w:rsidR="00CB3470" w:rsidRPr="004974E1" w:rsidRDefault="00CB3470" w:rsidP="00CB3470">
      <w:pPr>
        <w:jc w:val="center"/>
        <w:rPr>
          <w:caps/>
          <w:sz w:val="28"/>
          <w:szCs w:val="28"/>
        </w:rPr>
      </w:pPr>
      <w:r w:rsidRPr="004974E1">
        <w:rPr>
          <w:b/>
          <w:sz w:val="28"/>
          <w:szCs w:val="28"/>
        </w:rPr>
        <w:t>на изображении</w:t>
      </w:r>
    </w:p>
    <w:p w:rsidR="00CB3470" w:rsidRPr="009A1B45" w:rsidRDefault="00CB3470" w:rsidP="00CB3470">
      <w:pPr>
        <w:jc w:val="center"/>
        <w:rPr>
          <w:i/>
        </w:rPr>
      </w:pPr>
    </w:p>
    <w:p w:rsidR="00CB3470" w:rsidRPr="009A1B45" w:rsidRDefault="00CB3470" w:rsidP="00CB3470">
      <w:pPr>
        <w:ind w:firstLine="0"/>
        <w:jc w:val="center"/>
      </w:pPr>
      <w:r w:rsidRPr="009A1B45">
        <w:rPr>
          <w:b/>
        </w:rPr>
        <w:t xml:space="preserve">В.Я. </w:t>
      </w:r>
      <w:proofErr w:type="spellStart"/>
      <w:r w:rsidRPr="009A1B45">
        <w:rPr>
          <w:b/>
        </w:rPr>
        <w:t>Вилисов</w:t>
      </w:r>
      <w:proofErr w:type="spellEnd"/>
      <w:r w:rsidRPr="009A1B45">
        <w:t xml:space="preserve">, </w:t>
      </w:r>
      <w:proofErr w:type="spellStart"/>
      <w:r w:rsidRPr="009A1B45">
        <w:t>д.э.н</w:t>
      </w:r>
      <w:proofErr w:type="spellEnd"/>
      <w:r w:rsidRPr="009A1B45">
        <w:t>., к.т.н., профессор,</w:t>
      </w:r>
    </w:p>
    <w:p w:rsidR="00CB3470" w:rsidRPr="009A1B45" w:rsidRDefault="00CB3470" w:rsidP="00CB3470">
      <w:pPr>
        <w:ind w:firstLine="0"/>
        <w:jc w:val="center"/>
      </w:pPr>
      <w:r w:rsidRPr="009A1B45">
        <w:rPr>
          <w:b/>
        </w:rPr>
        <w:t>О.Н. Борисова</w:t>
      </w:r>
      <w:r w:rsidRPr="009A1B45">
        <w:t xml:space="preserve">, </w:t>
      </w:r>
      <w:proofErr w:type="spellStart"/>
      <w:r w:rsidRPr="009A1B45">
        <w:t>к.ф.-м.н</w:t>
      </w:r>
      <w:proofErr w:type="spellEnd"/>
      <w:r w:rsidRPr="009A1B45">
        <w:t>., доцент,</w:t>
      </w:r>
    </w:p>
    <w:p w:rsidR="00CB3470" w:rsidRPr="009A1B45" w:rsidRDefault="00CB3470" w:rsidP="00CB3470">
      <w:pPr>
        <w:ind w:firstLine="0"/>
        <w:jc w:val="center"/>
      </w:pPr>
      <w:r w:rsidRPr="009A1B45">
        <w:rPr>
          <w:b/>
        </w:rPr>
        <w:t xml:space="preserve">Н.П. </w:t>
      </w:r>
      <w:proofErr w:type="spellStart"/>
      <w:r w:rsidRPr="009A1B45">
        <w:rPr>
          <w:b/>
        </w:rPr>
        <w:t>Мацнев</w:t>
      </w:r>
      <w:proofErr w:type="spellEnd"/>
      <w:r w:rsidRPr="009A1B45">
        <w:t>, к.т.н., доцент кафедры Математики и естественнонаучных дисциплин,</w:t>
      </w:r>
    </w:p>
    <w:p w:rsidR="00CB3470" w:rsidRPr="009A1B45" w:rsidRDefault="00CB3470" w:rsidP="00CB3470">
      <w:pPr>
        <w:ind w:firstLine="0"/>
        <w:jc w:val="center"/>
      </w:pPr>
      <w:r w:rsidRPr="009A1B45">
        <w:t>Государственное бюджетное образовательное учреждение</w:t>
      </w:r>
    </w:p>
    <w:p w:rsidR="00CB3470" w:rsidRPr="009A1B45" w:rsidRDefault="00CB3470" w:rsidP="00CB3470">
      <w:pPr>
        <w:ind w:firstLine="0"/>
        <w:jc w:val="center"/>
      </w:pPr>
      <w:r w:rsidRPr="009A1B45">
        <w:t>высшего образования Московской области</w:t>
      </w:r>
    </w:p>
    <w:p w:rsidR="00CB3470" w:rsidRPr="009A1B45" w:rsidRDefault="00CB3470" w:rsidP="00CB3470">
      <w:pPr>
        <w:ind w:firstLine="0"/>
        <w:jc w:val="center"/>
      </w:pPr>
      <w:r w:rsidRPr="009A1B45">
        <w:t xml:space="preserve">«Технологический университет», </w:t>
      </w:r>
      <w:proofErr w:type="gramStart"/>
      <w:r w:rsidRPr="009A1B45">
        <w:t>г</w:t>
      </w:r>
      <w:proofErr w:type="gramEnd"/>
      <w:r w:rsidRPr="009A1B45">
        <w:t>. Королев, Московская область</w:t>
      </w:r>
    </w:p>
    <w:p w:rsidR="00CB3470" w:rsidRPr="009A1B45" w:rsidRDefault="00CB3470" w:rsidP="00CB3470">
      <w:pPr>
        <w:ind w:firstLine="454"/>
      </w:pPr>
    </w:p>
    <w:p w:rsidR="00CB3470" w:rsidRPr="009A1B45" w:rsidRDefault="00CB3470" w:rsidP="00CB3470">
      <w:pPr>
        <w:ind w:firstLine="709"/>
        <w:rPr>
          <w:i/>
        </w:rPr>
      </w:pPr>
      <w:r w:rsidRPr="009A1B45">
        <w:rPr>
          <w:i/>
        </w:rPr>
        <w:t>Предложен алгоритм статистического анализа изображений для выявления типов объектов. Исследование выполнено в контексте изображений лесного массива. Алгоритм позволяет в заданной области выявить регионы локализации некоторого множества типов объектов. Для каждого региона решается задача классификации, т.е. определяется тип объекта. При классификации используются методы регрессионного, кластерного, корреляционного анализа. Работоспособность и эффективность алгоритма проверена на примере в режиме имитационного моделирования.</w:t>
      </w:r>
    </w:p>
    <w:p w:rsidR="00CB3470" w:rsidRPr="009A1B45" w:rsidRDefault="00CB3470" w:rsidP="00CB3470">
      <w:pPr>
        <w:ind w:firstLine="709"/>
        <w:rPr>
          <w:i/>
        </w:rPr>
      </w:pPr>
    </w:p>
    <w:p w:rsidR="00CB3470" w:rsidRPr="009A1B45" w:rsidRDefault="00CB3470" w:rsidP="00CB3470">
      <w:pPr>
        <w:ind w:firstLine="0"/>
      </w:pPr>
      <w:proofErr w:type="spellStart"/>
      <w:r w:rsidRPr="009A1B45">
        <w:t>Лидар</w:t>
      </w:r>
      <w:proofErr w:type="spellEnd"/>
      <w:r w:rsidRPr="009A1B45">
        <w:t>, изображение, распознавание, порода деревьев, лес.</w:t>
      </w:r>
    </w:p>
    <w:p w:rsidR="00CB3470" w:rsidRPr="009A1B45" w:rsidRDefault="00CB3470" w:rsidP="00CB3470">
      <w:pPr>
        <w:ind w:firstLine="454"/>
      </w:pPr>
    </w:p>
    <w:p w:rsidR="00CB3470" w:rsidRPr="00366A31" w:rsidRDefault="00CB3470" w:rsidP="00CB3470">
      <w:pPr>
        <w:ind w:firstLine="0"/>
        <w:jc w:val="center"/>
        <w:rPr>
          <w:b/>
          <w:color w:val="222222"/>
          <w:sz w:val="28"/>
          <w:szCs w:val="28"/>
          <w:lang w:val="en-US"/>
        </w:rPr>
      </w:pPr>
      <w:r>
        <w:rPr>
          <w:b/>
          <w:color w:val="222222"/>
          <w:sz w:val="28"/>
          <w:szCs w:val="28"/>
          <w:lang/>
        </w:rPr>
        <w:t xml:space="preserve">Recognition </w:t>
      </w:r>
      <w:r>
        <w:rPr>
          <w:b/>
          <w:color w:val="222222"/>
          <w:sz w:val="28"/>
          <w:szCs w:val="28"/>
          <w:lang w:val="en-US"/>
        </w:rPr>
        <w:t>m</w:t>
      </w:r>
      <w:proofErr w:type="spellStart"/>
      <w:r w:rsidRPr="00F77D26">
        <w:rPr>
          <w:b/>
          <w:color w:val="222222"/>
          <w:sz w:val="28"/>
          <w:szCs w:val="28"/>
          <w:lang/>
        </w:rPr>
        <w:t>ethod</w:t>
      </w:r>
      <w:proofErr w:type="spellEnd"/>
      <w:r w:rsidRPr="00F77D26">
        <w:rPr>
          <w:b/>
          <w:color w:val="222222"/>
          <w:sz w:val="28"/>
          <w:szCs w:val="28"/>
          <w:lang/>
        </w:rPr>
        <w:t xml:space="preserve"> of types of objects in the image</w:t>
      </w:r>
    </w:p>
    <w:p w:rsidR="00CB3470" w:rsidRPr="00366A31" w:rsidRDefault="00CB3470" w:rsidP="00CB3470">
      <w:pPr>
        <w:ind w:firstLine="454"/>
        <w:rPr>
          <w:lang w:val="en-US"/>
        </w:rPr>
      </w:pPr>
    </w:p>
    <w:p w:rsidR="00CB3470" w:rsidRPr="009A1B45" w:rsidRDefault="00CB3470" w:rsidP="00CB3470">
      <w:pPr>
        <w:ind w:firstLine="0"/>
        <w:jc w:val="center"/>
        <w:rPr>
          <w:lang w:val="en-US"/>
        </w:rPr>
      </w:pPr>
      <w:r w:rsidRPr="009A1B45">
        <w:rPr>
          <w:b/>
          <w:lang w:val="en-US"/>
        </w:rPr>
        <w:t xml:space="preserve">V.Y. </w:t>
      </w:r>
      <w:proofErr w:type="spellStart"/>
      <w:r w:rsidRPr="009A1B45">
        <w:rPr>
          <w:b/>
          <w:lang w:val="en-US"/>
        </w:rPr>
        <w:t>Vilisov</w:t>
      </w:r>
      <w:proofErr w:type="gramStart"/>
      <w:r w:rsidRPr="009A1B45">
        <w:rPr>
          <w:lang w:val="en-US"/>
        </w:rPr>
        <w:t>,D.Sc</w:t>
      </w:r>
      <w:proofErr w:type="spellEnd"/>
      <w:proofErr w:type="gramEnd"/>
      <w:r w:rsidRPr="009A1B45">
        <w:rPr>
          <w:lang w:val="en-US"/>
        </w:rPr>
        <w:t>. in economics, Ph.D., Professor,</w:t>
      </w:r>
    </w:p>
    <w:p w:rsidR="00CB3470" w:rsidRPr="009A1B45" w:rsidRDefault="00CB3470" w:rsidP="00CB3470">
      <w:pPr>
        <w:ind w:firstLine="0"/>
        <w:jc w:val="center"/>
        <w:rPr>
          <w:lang w:val="en-US"/>
        </w:rPr>
      </w:pPr>
      <w:r w:rsidRPr="009A1B45">
        <w:rPr>
          <w:b/>
          <w:lang w:val="en-US"/>
        </w:rPr>
        <w:t xml:space="preserve">O.N. </w:t>
      </w:r>
      <w:proofErr w:type="spellStart"/>
      <w:r w:rsidRPr="009A1B45">
        <w:rPr>
          <w:b/>
          <w:lang w:val="en-US"/>
        </w:rPr>
        <w:t>Borisova</w:t>
      </w:r>
      <w:proofErr w:type="gramStart"/>
      <w:r w:rsidRPr="009A1B45">
        <w:rPr>
          <w:lang w:val="en-US"/>
        </w:rPr>
        <w:t>,Ph.D</w:t>
      </w:r>
      <w:proofErr w:type="spellEnd"/>
      <w:proofErr w:type="gramEnd"/>
      <w:r w:rsidRPr="009A1B45">
        <w:rPr>
          <w:lang w:val="en-US"/>
        </w:rPr>
        <w:t>., associate professor,</w:t>
      </w:r>
    </w:p>
    <w:p w:rsidR="00CB3470" w:rsidRPr="009A1B45" w:rsidRDefault="00CB3470" w:rsidP="00CB3470">
      <w:pPr>
        <w:ind w:firstLine="0"/>
        <w:jc w:val="center"/>
        <w:rPr>
          <w:lang w:val="en-US"/>
        </w:rPr>
      </w:pPr>
      <w:r w:rsidRPr="009A1B45">
        <w:rPr>
          <w:b/>
          <w:lang w:val="en-US"/>
        </w:rPr>
        <w:t xml:space="preserve">N.P. </w:t>
      </w:r>
      <w:proofErr w:type="spellStart"/>
      <w:r w:rsidRPr="009A1B45">
        <w:rPr>
          <w:b/>
          <w:lang w:val="en-US"/>
        </w:rPr>
        <w:t>Matsnev</w:t>
      </w:r>
      <w:proofErr w:type="spellEnd"/>
      <w:r w:rsidRPr="009A1B45">
        <w:rPr>
          <w:lang w:val="en-US"/>
        </w:rPr>
        <w:t>, Ph.D., Associate Professor,</w:t>
      </w:r>
    </w:p>
    <w:p w:rsidR="00CB3470" w:rsidRPr="009A1B45" w:rsidRDefault="00CB3470" w:rsidP="00CB3470">
      <w:pPr>
        <w:ind w:firstLine="0"/>
        <w:jc w:val="center"/>
        <w:rPr>
          <w:lang w:val="en-US"/>
        </w:rPr>
      </w:pPr>
      <w:r w:rsidRPr="009A1B45">
        <w:rPr>
          <w:lang w:val="en-US"/>
        </w:rPr>
        <w:t>Department of Mathematics and Natural Sciences State,</w:t>
      </w:r>
    </w:p>
    <w:p w:rsidR="00CB3470" w:rsidRPr="009A1B45" w:rsidRDefault="00CB3470" w:rsidP="00CB3470">
      <w:pPr>
        <w:ind w:firstLine="0"/>
        <w:jc w:val="center"/>
        <w:rPr>
          <w:lang w:val="en-US"/>
        </w:rPr>
      </w:pPr>
      <w:r w:rsidRPr="009A1B45">
        <w:rPr>
          <w:lang w:val="en-US"/>
        </w:rPr>
        <w:t>State Educational Institution of Higher Education</w:t>
      </w:r>
    </w:p>
    <w:p w:rsidR="00CB3470" w:rsidRPr="009A1B45" w:rsidRDefault="00CB3470" w:rsidP="00CB3470">
      <w:pPr>
        <w:ind w:firstLine="0"/>
        <w:jc w:val="center"/>
        <w:rPr>
          <w:lang w:val="en-US"/>
        </w:rPr>
      </w:pPr>
      <w:r w:rsidRPr="009A1B45">
        <w:rPr>
          <w:lang w:val="en-US"/>
        </w:rPr>
        <w:t xml:space="preserve">Moscow Region «University of technology», </w:t>
      </w:r>
      <w:proofErr w:type="spellStart"/>
      <w:r w:rsidRPr="009A1B45">
        <w:rPr>
          <w:lang w:val="en-US"/>
        </w:rPr>
        <w:t>Korolev</w:t>
      </w:r>
      <w:proofErr w:type="spellEnd"/>
      <w:r w:rsidRPr="009A1B45">
        <w:rPr>
          <w:lang w:val="en-US"/>
        </w:rPr>
        <w:t>, Moscow region</w:t>
      </w:r>
    </w:p>
    <w:p w:rsidR="00CB3470" w:rsidRPr="009A1B45" w:rsidRDefault="00CB3470" w:rsidP="00CB3470">
      <w:pPr>
        <w:jc w:val="center"/>
        <w:rPr>
          <w:lang w:val="en-US"/>
        </w:rPr>
      </w:pPr>
    </w:p>
    <w:p w:rsidR="00CB3470" w:rsidRPr="009A1B45" w:rsidRDefault="00CB3470" w:rsidP="00CB3470">
      <w:pPr>
        <w:ind w:firstLine="709"/>
        <w:rPr>
          <w:i/>
          <w:lang w:val="en-US"/>
        </w:rPr>
      </w:pPr>
      <w:proofErr w:type="gramStart"/>
      <w:r w:rsidRPr="009A1B45">
        <w:rPr>
          <w:i/>
          <w:lang w:val="en-US"/>
        </w:rPr>
        <w:t>The algorithm for statistical image analysis to identify the types of objects.</w:t>
      </w:r>
      <w:proofErr w:type="gramEnd"/>
      <w:r w:rsidRPr="009A1B45">
        <w:rPr>
          <w:i/>
          <w:lang w:val="en-US"/>
        </w:rPr>
        <w:t xml:space="preserve"> The study was performed in the context of the image of the forest. The algorithm allows a predetermined area to identify regions of the localization of a plurality of types of objects. For each region, solved </w:t>
      </w:r>
      <w:proofErr w:type="gramStart"/>
      <w:r w:rsidRPr="009A1B45">
        <w:rPr>
          <w:i/>
          <w:lang w:val="en-US"/>
        </w:rPr>
        <w:t>the</w:t>
      </w:r>
      <w:proofErr w:type="gramEnd"/>
      <w:r w:rsidRPr="009A1B45">
        <w:rPr>
          <w:i/>
          <w:lang w:val="en-US"/>
        </w:rPr>
        <w:t xml:space="preserve"> problem of classification, </w:t>
      </w:r>
      <w:proofErr w:type="spellStart"/>
      <w:r w:rsidRPr="009A1B45">
        <w:rPr>
          <w:i/>
          <w:lang w:val="en-US"/>
        </w:rPr>
        <w:t>ie</w:t>
      </w:r>
      <w:proofErr w:type="spellEnd"/>
      <w:r w:rsidRPr="009A1B45">
        <w:rPr>
          <w:i/>
          <w:lang w:val="en-US"/>
        </w:rPr>
        <w:t xml:space="preserve"> It is determined by the type of object. </w:t>
      </w:r>
      <w:proofErr w:type="gramStart"/>
      <w:r w:rsidRPr="009A1B45">
        <w:rPr>
          <w:i/>
          <w:lang w:val="en-US"/>
        </w:rPr>
        <w:t>In the classification used in the regression, cluster, correlation analysis.</w:t>
      </w:r>
      <w:proofErr w:type="gramEnd"/>
      <w:r w:rsidRPr="009A1B45">
        <w:rPr>
          <w:i/>
          <w:lang w:val="en-US"/>
        </w:rPr>
        <w:t xml:space="preserve"> The efficiency and effectiveness of the algorithm is checked on the example in simulation mode.</w:t>
      </w:r>
    </w:p>
    <w:p w:rsidR="00CB3470" w:rsidRPr="009A1B45" w:rsidRDefault="00CB3470" w:rsidP="00CB3470">
      <w:pPr>
        <w:ind w:firstLine="0"/>
      </w:pPr>
      <w:proofErr w:type="spellStart"/>
      <w:r w:rsidRPr="009A1B45">
        <w:t>Lidar</w:t>
      </w:r>
      <w:proofErr w:type="spellEnd"/>
      <w:r w:rsidRPr="009A1B45">
        <w:t xml:space="preserve">, </w:t>
      </w:r>
      <w:proofErr w:type="spellStart"/>
      <w:r w:rsidRPr="009A1B45">
        <w:t>image</w:t>
      </w:r>
      <w:proofErr w:type="spellEnd"/>
      <w:r w:rsidRPr="009A1B45">
        <w:t xml:space="preserve">, </w:t>
      </w:r>
      <w:proofErr w:type="spellStart"/>
      <w:r w:rsidRPr="009A1B45">
        <w:t>recognition</w:t>
      </w:r>
      <w:proofErr w:type="spellEnd"/>
      <w:r w:rsidRPr="009A1B45">
        <w:t xml:space="preserve">, </w:t>
      </w:r>
      <w:proofErr w:type="spellStart"/>
      <w:r w:rsidRPr="009A1B45">
        <w:t>forest</w:t>
      </w:r>
      <w:proofErr w:type="spellEnd"/>
      <w:r w:rsidRPr="009A1B45">
        <w:t>.</w:t>
      </w:r>
    </w:p>
    <w:p w:rsidR="00CB3470" w:rsidRPr="009A1B45" w:rsidRDefault="00CB3470" w:rsidP="00CB3470">
      <w:pPr>
        <w:ind w:firstLine="454"/>
      </w:pPr>
    </w:p>
    <w:p w:rsidR="00CB3470" w:rsidRPr="009A1B45" w:rsidRDefault="00CB3470" w:rsidP="00CB3470">
      <w:pPr>
        <w:ind w:firstLine="709"/>
        <w:rPr>
          <w:b/>
        </w:rPr>
      </w:pPr>
      <w:r w:rsidRPr="009A1B45">
        <w:rPr>
          <w:b/>
        </w:rPr>
        <w:t>Введение</w:t>
      </w:r>
    </w:p>
    <w:p w:rsidR="00CB3470" w:rsidRPr="009A1B45" w:rsidRDefault="00CB3470" w:rsidP="00CB3470">
      <w:pPr>
        <w:ind w:firstLine="709"/>
      </w:pPr>
      <w:r w:rsidRPr="009A1B45">
        <w:t xml:space="preserve">Задача распознавания объектов на некотором снимке, изображении является актуальной во многих прикладных областях, в частности, в робототехнике при анализе сцен и решении навигационных задач по изображениям или видеоряду. При мониторинге поверхности Земли в разнообразных народнохозяйственных целях решаются многочисленные задачи анализа изображений в различных частотных спектрах. Одной из таких групп задач является мониторинг лесных массивов для получения количественных характеристик (оценок) пород деревьев на тех или иных территориях. В качестве источников изображений могут быть как фото/видео камеры, так и специальные средства, например, </w:t>
      </w:r>
      <w:proofErr w:type="spellStart"/>
      <w:r w:rsidRPr="009A1B45">
        <w:t>лидары</w:t>
      </w:r>
      <w:proofErr w:type="spellEnd"/>
      <w:r w:rsidRPr="009A1B45">
        <w:t xml:space="preserve"> [5] – лазерные радары, работающие в режиме локации и позволяющие, в отличие от фото и видео аппаратуры, получать изображения даже в условиях плохой видимости и облачности. </w:t>
      </w:r>
      <w:proofErr w:type="spellStart"/>
      <w:r w:rsidRPr="009A1B45">
        <w:t>Лидар</w:t>
      </w:r>
      <w:proofErr w:type="spellEnd"/>
      <w:r w:rsidRPr="009A1B45">
        <w:t xml:space="preserve"> (</w:t>
      </w:r>
      <w:r w:rsidRPr="009A1B45">
        <w:rPr>
          <w:i/>
        </w:rPr>
        <w:t>LIDAR</w:t>
      </w:r>
      <w:r w:rsidRPr="009A1B45">
        <w:t xml:space="preserve"> англ. </w:t>
      </w:r>
      <w:proofErr w:type="spellStart"/>
      <w:r w:rsidRPr="009A1B45">
        <w:rPr>
          <w:i/>
        </w:rPr>
        <w:t>Light</w:t>
      </w:r>
      <w:proofErr w:type="spellEnd"/>
      <w:r w:rsidRPr="009A1B45">
        <w:rPr>
          <w:i/>
        </w:rPr>
        <w:t xml:space="preserve"> </w:t>
      </w:r>
      <w:proofErr w:type="spellStart"/>
      <w:r w:rsidRPr="009A1B45">
        <w:rPr>
          <w:i/>
        </w:rPr>
        <w:t>Identification</w:t>
      </w:r>
      <w:proofErr w:type="spellEnd"/>
      <w:r w:rsidRPr="009A1B45">
        <w:rPr>
          <w:i/>
        </w:rPr>
        <w:t xml:space="preserve"> </w:t>
      </w:r>
      <w:proofErr w:type="spellStart"/>
      <w:r w:rsidRPr="009A1B45">
        <w:rPr>
          <w:i/>
        </w:rPr>
        <w:t>Detection</w:t>
      </w:r>
      <w:proofErr w:type="spellEnd"/>
      <w:r w:rsidRPr="009A1B45">
        <w:rPr>
          <w:i/>
        </w:rPr>
        <w:t xml:space="preserve"> </w:t>
      </w:r>
      <w:proofErr w:type="spellStart"/>
      <w:r w:rsidRPr="009A1B45">
        <w:rPr>
          <w:i/>
        </w:rPr>
        <w:t>and</w:t>
      </w:r>
      <w:proofErr w:type="spellEnd"/>
      <w:r w:rsidRPr="009A1B45">
        <w:rPr>
          <w:i/>
        </w:rPr>
        <w:t xml:space="preserve"> </w:t>
      </w:r>
      <w:proofErr w:type="spellStart"/>
      <w:r w:rsidRPr="009A1B45">
        <w:rPr>
          <w:i/>
        </w:rPr>
        <w:t>Ranging</w:t>
      </w:r>
      <w:proofErr w:type="spellEnd"/>
      <w:r w:rsidRPr="009A1B45">
        <w:t xml:space="preserve"> – световое обнаружение и определение дальности) – это технология получения и обработки информации об удаленных объектах с помощью активных оптических систем, </w:t>
      </w:r>
      <w:r w:rsidRPr="009A1B45">
        <w:lastRenderedPageBreak/>
        <w:t>использующих явления отражения света и его рассеяния в прозрачных и полупрозрачных средах.</w:t>
      </w:r>
    </w:p>
    <w:p w:rsidR="00CB3470" w:rsidRPr="009A1B45" w:rsidRDefault="00CB3470" w:rsidP="00CB3470">
      <w:pPr>
        <w:ind w:firstLine="709"/>
      </w:pPr>
      <w:proofErr w:type="spellStart"/>
      <w:proofErr w:type="gramStart"/>
      <w:r w:rsidRPr="009A1B45">
        <w:t>Лидарные</w:t>
      </w:r>
      <w:proofErr w:type="spellEnd"/>
      <w:r w:rsidRPr="009A1B45">
        <w:t xml:space="preserve"> комплексы позволяют получать изображения в цифровой форме, причем по каждому исходящему и принятому импульсу имеется широкий набор данных, в частности, координаты точки отражения (</w:t>
      </w:r>
      <w:proofErr w:type="spellStart"/>
      <w:r w:rsidRPr="009A1B45">
        <w:rPr>
          <w:i/>
        </w:rPr>
        <w:t>x</w:t>
      </w:r>
      <w:proofErr w:type="spellEnd"/>
      <w:r w:rsidRPr="009A1B45">
        <w:t xml:space="preserve">, </w:t>
      </w:r>
      <w:proofErr w:type="spellStart"/>
      <w:r w:rsidRPr="009A1B45">
        <w:rPr>
          <w:i/>
        </w:rPr>
        <w:t>y</w:t>
      </w:r>
      <w:proofErr w:type="spellEnd"/>
      <w:r w:rsidRPr="009A1B45">
        <w:t xml:space="preserve">, </w:t>
      </w:r>
      <w:proofErr w:type="spellStart"/>
      <w:r w:rsidRPr="009A1B45">
        <w:rPr>
          <w:i/>
        </w:rPr>
        <w:t>z</w:t>
      </w:r>
      <w:proofErr w:type="spellEnd"/>
      <w:r w:rsidRPr="009A1B45">
        <w:t xml:space="preserve">), время GPS, интенсивность отраженного сигнала, номер отражения, число отражений, угол сканирования и др. Именно данные лесных массивов, полученные </w:t>
      </w:r>
      <w:proofErr w:type="spellStart"/>
      <w:r w:rsidRPr="009A1B45">
        <w:t>лидаром</w:t>
      </w:r>
      <w:proofErr w:type="spellEnd"/>
      <w:r w:rsidRPr="009A1B45">
        <w:t>, и послужили исходной информацией для решения задачи распознавания пород деревьев по данным изображения (рис</w:t>
      </w:r>
      <w:proofErr w:type="gramEnd"/>
      <w:r w:rsidRPr="009A1B45">
        <w:t>. 1).</w:t>
      </w:r>
    </w:p>
    <w:p w:rsidR="00CB3470" w:rsidRPr="009A1B45" w:rsidRDefault="00CB3470" w:rsidP="00CB3470">
      <w:pPr>
        <w:ind w:firstLine="0"/>
      </w:pPr>
      <w:r w:rsidRPr="009A1B4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177800</wp:posOffset>
            </wp:positionV>
            <wp:extent cx="3327400" cy="1386840"/>
            <wp:effectExtent l="0" t="0" r="6350" b="3810"/>
            <wp:wrapTopAndBottom/>
            <wp:docPr id="258" name="Рисунок 7" descr="G:\CUS\_Кафедра МЕНД\. Прогр.  р а з в и т и я  каф\. . П у б л и к а ц и и  в eLibrary\_ _ Публ. для Хирша\Вил_(Лидар_Конст)_\Фрагмент лес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US\_Кафедра МЕНД\. Прогр.  р а з в и т и я  каф\. . П у б л и к а ц и и  в eLibrary\_ _ Публ. для Хирша\Вил_(Лидар_Конст)_\Фрагмент леса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470" w:rsidRPr="004974E1" w:rsidRDefault="00CB3470" w:rsidP="00CB3470">
      <w:pPr>
        <w:ind w:firstLine="0"/>
        <w:jc w:val="center"/>
        <w:rPr>
          <w:b/>
          <w:sz w:val="22"/>
          <w:szCs w:val="22"/>
        </w:rPr>
      </w:pPr>
      <w:r w:rsidRPr="004974E1">
        <w:rPr>
          <w:b/>
          <w:sz w:val="22"/>
          <w:szCs w:val="22"/>
        </w:rPr>
        <w:t>Рисунок 1 – Фрагмент изображения леса</w:t>
      </w:r>
    </w:p>
    <w:p w:rsidR="00CB3470" w:rsidRPr="009A1B45" w:rsidRDefault="00CB3470" w:rsidP="00CB3470">
      <w:pPr>
        <w:ind w:firstLine="709"/>
      </w:pPr>
    </w:p>
    <w:p w:rsidR="00CB3470" w:rsidRPr="009A1B45" w:rsidRDefault="00CB3470" w:rsidP="00CB3470">
      <w:pPr>
        <w:ind w:firstLine="709"/>
      </w:pPr>
      <w:r w:rsidRPr="009A1B45">
        <w:t xml:space="preserve">Существенная доля исследований, выполненных для решения разнообразных задач распознавания, основана на использовании идей </w:t>
      </w:r>
      <w:proofErr w:type="spellStart"/>
      <w:r w:rsidRPr="009A1B45">
        <w:t>перцептрона</w:t>
      </w:r>
      <w:proofErr w:type="spellEnd"/>
      <w:r w:rsidRPr="009A1B45">
        <w:t xml:space="preserve"> </w:t>
      </w:r>
      <w:proofErr w:type="spellStart"/>
      <w:r w:rsidRPr="009A1B45">
        <w:t>Эшби-Розенблата</w:t>
      </w:r>
      <w:proofErr w:type="spellEnd"/>
      <w:r w:rsidRPr="009A1B45">
        <w:t xml:space="preserve"> или </w:t>
      </w:r>
      <w:proofErr w:type="spellStart"/>
      <w:r w:rsidRPr="009A1B45">
        <w:t>нейросетевых</w:t>
      </w:r>
      <w:proofErr w:type="spellEnd"/>
      <w:r w:rsidRPr="009A1B45">
        <w:t xml:space="preserve"> структур, в частности </w:t>
      </w:r>
      <w:proofErr w:type="spellStart"/>
      <w:r w:rsidRPr="009A1B45">
        <w:t>Когнитрона</w:t>
      </w:r>
      <w:proofErr w:type="spellEnd"/>
      <w:r w:rsidRPr="009A1B45">
        <w:t xml:space="preserve"> </w:t>
      </w:r>
      <w:proofErr w:type="spellStart"/>
      <w:r w:rsidRPr="009A1B45">
        <w:t>Фукушимы</w:t>
      </w:r>
      <w:proofErr w:type="spellEnd"/>
      <w:r w:rsidRPr="009A1B45">
        <w:t xml:space="preserve"> [10]. </w:t>
      </w:r>
    </w:p>
    <w:p w:rsidR="00CB3470" w:rsidRPr="009A1B45" w:rsidRDefault="00CB3470" w:rsidP="00CB3470">
      <w:pPr>
        <w:ind w:firstLine="709"/>
      </w:pPr>
      <w:r w:rsidRPr="009A1B45">
        <w:t>Многие алгоритмы распознавания используют в качестве ключевых элементов группы образов. Но существует достаточно много публикаций [1, 5-9], свидетельствующих об относительно высокой сложности реализации подобных проектов либо о недостаточной эффективности распознавания. Важным качеством прикладных алгоритмов распознавания является оптимальное соотношение сложности их реализации и эффективности результатов.</w:t>
      </w:r>
    </w:p>
    <w:p w:rsidR="00CB3470" w:rsidRPr="009A1B45" w:rsidRDefault="00CB3470" w:rsidP="00CB3470">
      <w:pPr>
        <w:ind w:firstLine="709"/>
      </w:pPr>
      <w:r w:rsidRPr="009A1B45">
        <w:t>В работе, на примере задач анализа изображений лесных массивов предлагается вариант алгоритма корреляционного распознавания с предварительным обучением.</w:t>
      </w:r>
    </w:p>
    <w:p w:rsidR="00CB3470" w:rsidRPr="009A1B45" w:rsidRDefault="00CB3470" w:rsidP="00CB3470">
      <w:pPr>
        <w:ind w:firstLine="709"/>
      </w:pPr>
      <w:r w:rsidRPr="009A1B45">
        <w:rPr>
          <w:b/>
        </w:rPr>
        <w:t>Исходные данные, предположения и допущения</w:t>
      </w:r>
    </w:p>
    <w:p w:rsidR="00CB3470" w:rsidRPr="009A1B45" w:rsidRDefault="00CB3470" w:rsidP="00CB3470">
      <w:pPr>
        <w:ind w:firstLine="709"/>
      </w:pPr>
      <w:r w:rsidRPr="009A1B45">
        <w:t>Приведем описание основных предпосылок, используемых в данном исследовании.</w:t>
      </w:r>
    </w:p>
    <w:p w:rsidR="00CB3470" w:rsidRPr="009A1B45" w:rsidRDefault="00CB3470" w:rsidP="00CB3470">
      <w:pPr>
        <w:ind w:firstLine="709"/>
        <w:rPr>
          <w:rFonts w:eastAsiaTheme="minorEastAsia"/>
        </w:rPr>
      </w:pPr>
      <w:r w:rsidRPr="009A1B45">
        <w:t>1. В массиве данных снимка для каждой его точки известны две координаты</w:t>
      </w:r>
      <w:proofErr w:type="gramStart"/>
      <w:r w:rsidRPr="009A1B45">
        <w:t xml:space="preserve"> (</w:t>
      </w:r>
      <m:oMath>
        <m:r>
          <w:rPr>
            <w:rFonts w:ascii="Cambria Math" w:hAnsi="Cambria Math"/>
          </w:rPr>
          <m:t>x, y</m:t>
        </m:r>
      </m:oMath>
      <w:r w:rsidRPr="009A1B45">
        <w:t xml:space="preserve">) </w:t>
      </w:r>
      <w:proofErr w:type="gramEnd"/>
      <w:r w:rsidRPr="009A1B45">
        <w:t>и интенсивность, или яркость, (</w:t>
      </w:r>
      <m:oMath>
        <m:r>
          <w:rPr>
            <w:rFonts w:ascii="Cambria Math" w:hAnsi="Cambria Math"/>
          </w:rPr>
          <m:t>d</m:t>
        </m:r>
      </m:oMath>
      <w:r w:rsidRPr="009A1B45">
        <w:t>). Будем считать, что большим значен</w:t>
      </w:r>
      <w:proofErr w:type="spellStart"/>
      <w:r w:rsidRPr="009A1B45">
        <w:t>иям</w:t>
      </w:r>
      <w:proofErr w:type="spellEnd"/>
      <w:r w:rsidRPr="009A1B45">
        <w:t xml:space="preserve"> интенсивности соответствуют и большие значения показателя </w:t>
      </w:r>
      <m:oMath>
        <m:r>
          <w:rPr>
            <w:rFonts w:ascii="Cambria Math" w:hAnsi="Cambria Math"/>
          </w:rPr>
          <m:t>d</m:t>
        </m:r>
      </m:oMath>
      <w:r w:rsidRPr="009A1B45">
        <w:t xml:space="preserve">. Т.е. вершина, как наиболее яркая часть кроны будет иметь максимальное значение </w:t>
      </w:r>
      <m:oMath>
        <m:r>
          <w:rPr>
            <w:rFonts w:ascii="Cambria Math" w:hAnsi="Cambria Math"/>
          </w:rPr>
          <m:t>d</m:t>
        </m:r>
      </m:oMath>
      <w:r w:rsidRPr="009A1B45">
        <w:rPr>
          <w:rFonts w:eastAsiaTheme="minorEastAsia"/>
        </w:rPr>
        <w:t xml:space="preserve">. В данных снимка, полученных с лидара, </w:t>
      </w:r>
      <m:oMath>
        <m:r>
          <w:rPr>
            <w:rFonts w:ascii="Cambria Math" w:hAnsi="Cambria Math"/>
          </w:rPr>
          <m:t>d∈[0;255]</m:t>
        </m:r>
      </m:oMath>
      <w:r w:rsidRPr="009A1B45">
        <w:rPr>
          <w:rFonts w:eastAsiaTheme="minorEastAsia"/>
        </w:rPr>
        <w:t>. При этом</w:t>
      </w:r>
      <w:proofErr w:type="gramStart"/>
      <w:r w:rsidRPr="009A1B45">
        <w:rPr>
          <w:rFonts w:eastAsiaTheme="minorEastAsia"/>
        </w:rPr>
        <w:t>,</w:t>
      </w:r>
      <w:proofErr w:type="gramEnd"/>
      <w:r w:rsidRPr="009A1B45">
        <w:rPr>
          <w:rFonts w:eastAsiaTheme="minorEastAsia"/>
        </w:rPr>
        <w:t xml:space="preserve"> если направление освещенности Солнцем является существенным, то будем считать, что можно выполнить предварительную корректировку значений интенсивности всех точек снимка, приведя к такому виду, когда вершине соответствует максимальное значение </w:t>
      </w:r>
      <m:oMath>
        <m:r>
          <w:rPr>
            <w:rFonts w:ascii="Cambria Math" w:hAnsi="Cambria Math"/>
          </w:rPr>
          <m:t>d</m:t>
        </m:r>
      </m:oMath>
      <w:r w:rsidRPr="009A1B45">
        <w:rPr>
          <w:rFonts w:eastAsiaTheme="minorEastAsia"/>
        </w:rPr>
        <w:t>. Если такая корректировка невозможна, то модификация алг</w:t>
      </w:r>
      <w:proofErr w:type="spellStart"/>
      <w:r w:rsidRPr="009A1B45">
        <w:rPr>
          <w:rFonts w:eastAsiaTheme="minorEastAsia"/>
        </w:rPr>
        <w:t>оритма</w:t>
      </w:r>
      <w:proofErr w:type="spellEnd"/>
      <w:r w:rsidRPr="009A1B45">
        <w:rPr>
          <w:rFonts w:eastAsiaTheme="minorEastAsia"/>
        </w:rPr>
        <w:t xml:space="preserve"> позволит компенсировать асимметрию освещенности.</w:t>
      </w:r>
    </w:p>
    <w:p w:rsidR="00CB3470" w:rsidRPr="009A1B45" w:rsidRDefault="00CB3470" w:rsidP="00CB3470">
      <w:pPr>
        <w:ind w:firstLine="709"/>
      </w:pPr>
      <w:r w:rsidRPr="009A1B45">
        <w:t>2. При описании алгоритма будем считать, что все деревья представлены в виде сверху, т.е. их кроны являются практически симметричными, а вершины находиться в центрах крон.</w:t>
      </w:r>
    </w:p>
    <w:p w:rsidR="00CB3470" w:rsidRPr="009A1B45" w:rsidRDefault="00CB3470" w:rsidP="00CB3470">
      <w:pPr>
        <w:ind w:firstLine="709"/>
      </w:pPr>
      <w:r w:rsidRPr="009A1B45">
        <w:t xml:space="preserve">3. Основная гипотеза, на которой строится приводимый ниже алгоритм распознавания </w:t>
      </w:r>
      <w:proofErr w:type="gramStart"/>
      <w:r w:rsidRPr="009A1B45">
        <w:t>пород</w:t>
      </w:r>
      <w:proofErr w:type="gramEnd"/>
      <w:r w:rsidRPr="009A1B45">
        <w:t xml:space="preserve"> заключается в следующем. Каждая порода имеет свою форму кроны, которая в разных ее точках по-разному рассеивает свет. Изменение интенсивности от вершины к периферии отличается для различных пород. Т.е. функция</w:t>
      </w:r>
      <w:proofErr w:type="gramStart"/>
      <w:r w:rsidRPr="009A1B45">
        <w:t xml:space="preserve"> </w:t>
      </w:r>
      <m:oMath>
        <m:r>
          <w:rPr>
            <w:rFonts w:ascii="Cambria Math" w:hAnsi="Cambria Math"/>
          </w:rPr>
          <m:t>d(r)</m:t>
        </m:r>
      </m:oMath>
      <w:r w:rsidRPr="009A1B45">
        <w:t xml:space="preserve">, </w:t>
      </w:r>
      <w:proofErr w:type="gramEnd"/>
      <w:r w:rsidRPr="009A1B45">
        <w:t>отражающая изменение интенсивности по радиусу (от вершины до произвольной точки кроны) имеет свою характерную форму для различных пород деревьев. Аналогичный подход используется при моделировании, анализе и представлении сцен [7-9] с и</w:t>
      </w:r>
      <w:proofErr w:type="spellStart"/>
      <w:r w:rsidRPr="009A1B45">
        <w:t>спользованием</w:t>
      </w:r>
      <w:proofErr w:type="spellEnd"/>
      <w:r w:rsidRPr="009A1B45">
        <w:t xml:space="preserve"> различных объемных фигур (многогранники, сферы, эллипсоиды, конусы и др.). Эти </w:t>
      </w:r>
      <w:r w:rsidRPr="009A1B45">
        <w:lastRenderedPageBreak/>
        <w:t>зависимости, применительно к кронам, должны учитывать их абсолютные размеры, обусловленные, в том числе, возрастом. Одним из способов учета возраста (для унификации множества распознаваемых деревьев) может быть нормирование абсолютных размеров приведением их к интервалу [0; 1].</w:t>
      </w:r>
    </w:p>
    <w:p w:rsidR="00CB3470" w:rsidRPr="009A1B45" w:rsidRDefault="00CB3470" w:rsidP="00CB3470">
      <w:pPr>
        <w:ind w:firstLine="709"/>
      </w:pPr>
      <w:r w:rsidRPr="009A1B45">
        <w:t xml:space="preserve">4. Функции интенсивности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rFonts w:eastAsiaTheme="minorEastAsia"/>
        </w:rPr>
        <w:t xml:space="preserve"> для каждой </w:t>
      </w:r>
      <w:proofErr w:type="spellStart"/>
      <w:r w:rsidRPr="009A1B45">
        <w:rPr>
          <w:rFonts w:eastAsiaTheme="minorEastAsia"/>
          <w:i/>
          <w:lang w:val="en-US"/>
        </w:rPr>
        <w:t>i</w:t>
      </w:r>
      <w:proofErr w:type="spellEnd"/>
      <w:r w:rsidRPr="009A1B45">
        <w:rPr>
          <w:rFonts w:eastAsiaTheme="minorEastAsia"/>
        </w:rPr>
        <w:t xml:space="preserve">-ой породы из числа </w:t>
      </w:r>
      <w:r w:rsidRPr="009A1B45">
        <w:rPr>
          <w:rFonts w:eastAsiaTheme="minorEastAsia"/>
          <w:i/>
          <w:lang w:val="en-US"/>
        </w:rPr>
        <w:t>n</w:t>
      </w:r>
      <w:r w:rsidRPr="009A1B45">
        <w:rPr>
          <w:rFonts w:eastAsiaTheme="minorEastAsia"/>
        </w:rPr>
        <w:t xml:space="preserve"> </w:t>
      </w:r>
      <w:proofErr w:type="gramStart"/>
      <w:r w:rsidRPr="009A1B45">
        <w:rPr>
          <w:rFonts w:eastAsiaTheme="minorEastAsia"/>
        </w:rPr>
        <w:t>рассматриваемых</w:t>
      </w:r>
      <w:proofErr w:type="gramEnd"/>
      <w:r w:rsidRPr="009A1B45">
        <w:rPr>
          <w:rFonts w:eastAsiaTheme="minorEastAsia"/>
        </w:rPr>
        <w:t>, априори неизвестны. Они могут быть определены в результате процедуры обучения (настройки) моделей на основании предъявления Оператору (Учителю) экземпляров пород на изображении. В процессе обучения по ряду предъявлений для каждой породы необходимо построить функции</w:t>
      </w:r>
      <w:proofErr w:type="gramStart"/>
      <w:r w:rsidRPr="009A1B4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rFonts w:eastAsiaTheme="minorEastAsia"/>
        </w:rPr>
        <w:t xml:space="preserve">, </w:t>
      </w:r>
      <w:proofErr w:type="gramEnd"/>
      <w:r w:rsidRPr="009A1B45">
        <w:rPr>
          <w:rFonts w:eastAsiaTheme="minorEastAsia"/>
        </w:rPr>
        <w:t xml:space="preserve">как средние и стандартные отклонения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rFonts w:eastAsiaTheme="minorEastAsia"/>
        </w:rPr>
        <w:t>.</w:t>
      </w:r>
      <w:r w:rsidRPr="009A1B45">
        <w:t xml:space="preserve"> Функции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rFonts w:eastAsiaTheme="minorEastAsia"/>
        </w:rPr>
        <w:t xml:space="preserve"> должны стать </w:t>
      </w:r>
      <w:r w:rsidRPr="009A1B45">
        <w:rPr>
          <w:rFonts w:eastAsiaTheme="minorEastAsia"/>
          <w:u w:val="single"/>
        </w:rPr>
        <w:t>эталонными функциями интенсивности</w:t>
      </w:r>
      <w:r w:rsidRPr="009A1B45">
        <w:rPr>
          <w:rFonts w:eastAsiaTheme="minorEastAsia"/>
        </w:rPr>
        <w:t xml:space="preserve"> (ЭФИ) для последующего сравнения с ними тестируемых экземпляров. Функции</w:t>
      </w:r>
      <w:proofErr w:type="gramStart"/>
      <w:r w:rsidRPr="009A1B4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rFonts w:eastAsiaTheme="minorEastAsia"/>
        </w:rPr>
        <w:t xml:space="preserve"> </w:t>
      </w:r>
      <w:proofErr w:type="gramEnd"/>
      <w:r w:rsidRPr="009A1B45">
        <w:rPr>
          <w:rFonts w:eastAsiaTheme="minorEastAsia"/>
        </w:rPr>
        <w:t>могут быть использованы для оценивания значений ошибок распознавания (ошибок первого и второго рода).</w:t>
      </w:r>
    </w:p>
    <w:p w:rsidR="00CB3470" w:rsidRPr="009A1B45" w:rsidRDefault="00CB3470" w:rsidP="00CB3470">
      <w:pPr>
        <w:ind w:firstLine="709"/>
      </w:pPr>
      <w:r w:rsidRPr="009A1B45">
        <w:t xml:space="preserve">5. Распознавание типа породы, к которой может относиться произвольная точка изображения, может быть выполнена на основе построения экземпляра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u w:val="single"/>
        </w:rPr>
        <w:t xml:space="preserve">тестовой </w:t>
      </w:r>
      <w:r w:rsidRPr="009A1B45">
        <w:rPr>
          <w:rFonts w:eastAsiaTheme="minorEastAsia"/>
          <w:u w:val="single"/>
        </w:rPr>
        <w:t>функции интенсивности</w:t>
      </w:r>
      <w:r w:rsidRPr="009A1B45">
        <w:rPr>
          <w:rFonts w:eastAsiaTheme="minorEastAsia"/>
        </w:rPr>
        <w:t xml:space="preserve"> (ТФИ) и последующего его сравнения </w:t>
      </w:r>
      <w:proofErr w:type="gramStart"/>
      <w:r w:rsidRPr="009A1B45">
        <w:rPr>
          <w:rFonts w:eastAsiaTheme="minorEastAsia"/>
        </w:rPr>
        <w:t>с</w:t>
      </w:r>
      <w:proofErr w:type="gramEnd"/>
      <w:r w:rsidRPr="009A1B45">
        <w:rPr>
          <w:rFonts w:eastAsiaTheme="minorEastAsia"/>
        </w:rPr>
        <w:t xml:space="preserve"> эталонными (ЭФИ). Сравнение может проводиться на основе, например, меры, представленной коэффициентом корреляции или суммарной квадратичной невязкой.</w:t>
      </w:r>
    </w:p>
    <w:p w:rsidR="00CB3470" w:rsidRPr="009A1B45" w:rsidRDefault="00CB3470" w:rsidP="00CB3470">
      <w:pPr>
        <w:ind w:firstLine="709"/>
      </w:pPr>
      <w:r w:rsidRPr="009A1B45">
        <w:t xml:space="preserve">В рамках приведенных предпосылок и с использованием элементов предложенных в работе алгоритмов могут быть решены следующие задачи. </w:t>
      </w:r>
    </w:p>
    <w:p w:rsidR="00CB3470" w:rsidRPr="009A1B45" w:rsidRDefault="00CB3470" w:rsidP="00CB3470">
      <w:pPr>
        <w:ind w:firstLine="709"/>
      </w:pPr>
      <w:r w:rsidRPr="009A1B45">
        <w:t>1. Для любой выбранной точки на изображении определить породу дерева. При этом результат может быть представлен:</w:t>
      </w:r>
    </w:p>
    <w:p w:rsidR="00CB3470" w:rsidRPr="009A1B45" w:rsidRDefault="00CB3470" w:rsidP="00CB3470">
      <w:pPr>
        <w:pStyle w:val="a3"/>
        <w:numPr>
          <w:ilvl w:val="0"/>
          <w:numId w:val="2"/>
        </w:numPr>
        <w:jc w:val="both"/>
      </w:pPr>
      <w:r w:rsidRPr="009A1B45">
        <w:t>номером, типом наиболее вероятной породы;</w:t>
      </w:r>
    </w:p>
    <w:p w:rsidR="00CB3470" w:rsidRPr="009A1B45" w:rsidRDefault="00CB3470" w:rsidP="00CB3470">
      <w:pPr>
        <w:pStyle w:val="a3"/>
        <w:numPr>
          <w:ilvl w:val="0"/>
          <w:numId w:val="2"/>
        </w:numPr>
        <w:jc w:val="both"/>
      </w:pPr>
      <w:r w:rsidRPr="009A1B45">
        <w:t xml:space="preserve">набором вероятностей того, что точка принадлежит тому или иному типу пород. </w:t>
      </w:r>
    </w:p>
    <w:p w:rsidR="00CB3470" w:rsidRPr="009A1B45" w:rsidRDefault="00CB3470" w:rsidP="00CB3470">
      <w:pPr>
        <w:ind w:firstLine="709"/>
      </w:pPr>
      <w:r w:rsidRPr="009A1B45">
        <w:t>В зависимости от целей исследования могут представлять интерес и такие показатели качества оценок как:</w:t>
      </w:r>
    </w:p>
    <w:p w:rsidR="00CB3470" w:rsidRPr="009A1B45" w:rsidRDefault="00CB3470" w:rsidP="00CB3470">
      <w:pPr>
        <w:pStyle w:val="a3"/>
        <w:numPr>
          <w:ilvl w:val="0"/>
          <w:numId w:val="1"/>
        </w:numPr>
        <w:jc w:val="both"/>
      </w:pPr>
      <w:r w:rsidRPr="009A1B45">
        <w:t>вероятность ошибки первого рода (ложной тревоги – что точка принадлежит не объявленной породе, а какой-то другой);</w:t>
      </w:r>
    </w:p>
    <w:p w:rsidR="00CB3470" w:rsidRPr="009A1B45" w:rsidRDefault="00CB3470" w:rsidP="00CB3470">
      <w:pPr>
        <w:pStyle w:val="a3"/>
        <w:numPr>
          <w:ilvl w:val="0"/>
          <w:numId w:val="1"/>
        </w:numPr>
        <w:jc w:val="both"/>
      </w:pPr>
      <w:r w:rsidRPr="009A1B45">
        <w:t xml:space="preserve">вероятность ошибки второго рода (ложному пропуску – что фактическая порода не будет объявлена). </w:t>
      </w:r>
    </w:p>
    <w:p w:rsidR="00CB3470" w:rsidRPr="009A1B45" w:rsidRDefault="00CB3470" w:rsidP="00CB3470">
      <w:pPr>
        <w:ind w:firstLine="709"/>
      </w:pPr>
      <w:r w:rsidRPr="009A1B45">
        <w:t>2. Для любого выбранного диапазона на изображении определить количественные и/или площадные доли пород. В рамках этой задачи могут быть построены оценки возрастных долей по каждой из пород (если известны эмпирические зависимости размера кроны от возраста).</w:t>
      </w:r>
    </w:p>
    <w:p w:rsidR="00CB3470" w:rsidRPr="009A1B45" w:rsidRDefault="00CB3470" w:rsidP="00CB3470">
      <w:pPr>
        <w:ind w:firstLine="709"/>
      </w:pPr>
      <w:r w:rsidRPr="009A1B45">
        <w:t xml:space="preserve">Рассмотрим, каким образом может быть решена первая из этих двух задач. Для ее решения необходимо построить алгоритмы, реализуемые на двух следующих этапах: </w:t>
      </w:r>
    </w:p>
    <w:p w:rsidR="00CB3470" w:rsidRPr="009A1B45" w:rsidRDefault="00CB3470" w:rsidP="00CB3470">
      <w:pPr>
        <w:pStyle w:val="a3"/>
        <w:numPr>
          <w:ilvl w:val="0"/>
          <w:numId w:val="3"/>
        </w:numPr>
        <w:jc w:val="both"/>
      </w:pPr>
      <w:r w:rsidRPr="009A1B45">
        <w:rPr>
          <w:b/>
          <w:i/>
        </w:rPr>
        <w:t>настройка</w:t>
      </w:r>
      <w:r w:rsidRPr="009A1B45">
        <w:t>:</w:t>
      </w:r>
    </w:p>
    <w:p w:rsidR="00CB3470" w:rsidRPr="009A1B45" w:rsidRDefault="00CB3470" w:rsidP="00CB3470">
      <w:pPr>
        <w:pStyle w:val="a3"/>
        <w:numPr>
          <w:ilvl w:val="1"/>
          <w:numId w:val="3"/>
        </w:numPr>
        <w:ind w:left="1134"/>
        <w:jc w:val="both"/>
      </w:pPr>
      <w:r w:rsidRPr="009A1B45">
        <w:rPr>
          <w:u w:val="single"/>
        </w:rPr>
        <w:t>алгоритм обучения</w:t>
      </w:r>
      <w:r w:rsidRPr="009A1B45">
        <w:t>, т.е. построения эталонных функций интенсивности (ЭФИ) для пород деревьев всех типов;</w:t>
      </w:r>
    </w:p>
    <w:p w:rsidR="00CB3470" w:rsidRPr="009A1B45" w:rsidRDefault="00CB3470" w:rsidP="00CB3470">
      <w:pPr>
        <w:pStyle w:val="a3"/>
        <w:numPr>
          <w:ilvl w:val="0"/>
          <w:numId w:val="3"/>
        </w:numPr>
        <w:jc w:val="both"/>
      </w:pPr>
      <w:r w:rsidRPr="009A1B45">
        <w:t xml:space="preserve">текущего </w:t>
      </w:r>
      <w:r w:rsidRPr="009A1B45">
        <w:rPr>
          <w:b/>
          <w:i/>
        </w:rPr>
        <w:t>оценивания</w:t>
      </w:r>
      <w:r w:rsidRPr="009A1B45">
        <w:t>:</w:t>
      </w:r>
    </w:p>
    <w:p w:rsidR="00CB3470" w:rsidRPr="009A1B45" w:rsidRDefault="00CB3470" w:rsidP="00CB3470">
      <w:pPr>
        <w:pStyle w:val="a3"/>
        <w:numPr>
          <w:ilvl w:val="1"/>
          <w:numId w:val="3"/>
        </w:numPr>
        <w:ind w:left="1134"/>
        <w:jc w:val="both"/>
      </w:pPr>
      <w:r w:rsidRPr="009A1B45">
        <w:rPr>
          <w:u w:val="single"/>
        </w:rPr>
        <w:t>алгоритм построения функции интенсивности</w:t>
      </w:r>
      <w:r w:rsidRPr="009A1B45">
        <w:t xml:space="preserve"> анализируемой, априори неизвестной, породы;</w:t>
      </w:r>
    </w:p>
    <w:p w:rsidR="00CB3470" w:rsidRPr="009A1B45" w:rsidRDefault="00CB3470" w:rsidP="00CB3470">
      <w:pPr>
        <w:pStyle w:val="a3"/>
        <w:numPr>
          <w:ilvl w:val="1"/>
          <w:numId w:val="3"/>
        </w:numPr>
        <w:ind w:left="1134"/>
        <w:jc w:val="both"/>
      </w:pPr>
      <w:r w:rsidRPr="009A1B45">
        <w:rPr>
          <w:u w:val="single"/>
        </w:rPr>
        <w:t>алгоритм распознавания</w:t>
      </w:r>
      <w:r w:rsidRPr="009A1B45">
        <w:t xml:space="preserve"> (идентификации) неизвестной породы по ее функции интенсивности.</w:t>
      </w:r>
    </w:p>
    <w:p w:rsidR="00CB3470" w:rsidRPr="009A1B45" w:rsidRDefault="00CB3470" w:rsidP="00CB3470">
      <w:pPr>
        <w:ind w:firstLine="709"/>
      </w:pPr>
      <w:r w:rsidRPr="009A1B45">
        <w:t>Рассмотрим каждый из трех перечисленных алгоритмов и приведем результаты имитационного эксперимента с их использованием.</w:t>
      </w:r>
    </w:p>
    <w:p w:rsidR="00CB3470" w:rsidRPr="009A1B45" w:rsidRDefault="00CB3470" w:rsidP="00CB3470">
      <w:pPr>
        <w:ind w:firstLine="709"/>
      </w:pPr>
      <w:r w:rsidRPr="009A1B45">
        <w:rPr>
          <w:b/>
        </w:rPr>
        <w:t>Алгоритм обучения</w:t>
      </w:r>
    </w:p>
    <w:p w:rsidR="00CB3470" w:rsidRPr="009A1B45" w:rsidRDefault="00CB3470" w:rsidP="00CB3470">
      <w:pPr>
        <w:ind w:firstLine="709"/>
        <w:rPr>
          <w:rFonts w:eastAsiaTheme="minorEastAsia"/>
        </w:rPr>
      </w:pPr>
      <w:r w:rsidRPr="009A1B45">
        <w:t xml:space="preserve">1. Оператор (учитель) указывает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 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9A1B45">
        <w:rPr>
          <w:rFonts w:eastAsiaTheme="minorEastAsia"/>
        </w:rPr>
        <w:t xml:space="preserve"> объектов каждого </w:t>
      </w:r>
      <w:proofErr w:type="gramStart"/>
      <w:r w:rsidRPr="009A1B45">
        <w:rPr>
          <w:rFonts w:eastAsiaTheme="minorEastAsia"/>
        </w:rPr>
        <w:t>-г</w:t>
      </w:r>
      <w:proofErr w:type="gramEnd"/>
      <w:r w:rsidRPr="009A1B45">
        <w:rPr>
          <w:rFonts w:eastAsiaTheme="minorEastAsia"/>
        </w:rPr>
        <w:t xml:space="preserve">о типа для построения эталонных функций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rFonts w:eastAsiaTheme="minorEastAsia"/>
        </w:rPr>
        <w:t xml:space="preserve">. </w:t>
      </w:r>
    </w:p>
    <w:p w:rsidR="00CB3470" w:rsidRPr="009A1B45" w:rsidRDefault="00CB3470" w:rsidP="00CB3470">
      <w:pPr>
        <w:ind w:firstLine="709"/>
        <w:rPr>
          <w:rFonts w:eastAsiaTheme="minorEastAsia"/>
        </w:rPr>
      </w:pPr>
      <w:r w:rsidRPr="009A1B45">
        <w:rPr>
          <w:rFonts w:eastAsiaTheme="minorEastAsia"/>
        </w:rPr>
        <w:t xml:space="preserve">2. По каждому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9A1B45">
        <w:rPr>
          <w:rFonts w:eastAsiaTheme="minorEastAsia"/>
        </w:rPr>
        <w:t xml:space="preserve"> дереву (имеющему видимую крону радиуса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9A1B45">
        <w:rPr>
          <w:rFonts w:eastAsiaTheme="minorEastAsia"/>
        </w:rPr>
        <w:t xml:space="preserve">) каждой </w:t>
      </w:r>
      <w:proofErr w:type="spellStart"/>
      <w:r w:rsidRPr="009A1B45">
        <w:rPr>
          <w:rFonts w:eastAsiaTheme="minorEastAsia"/>
          <w:i/>
          <w:lang w:val="en-US"/>
        </w:rPr>
        <w:t>i</w:t>
      </w:r>
      <w:proofErr w:type="spellEnd"/>
      <w:r w:rsidRPr="009A1B45">
        <w:rPr>
          <w:rFonts w:eastAsiaTheme="minorEastAsia"/>
        </w:rPr>
        <w:t>-</w:t>
      </w:r>
      <w:proofErr w:type="spellStart"/>
      <w:r w:rsidRPr="009A1B45">
        <w:rPr>
          <w:rFonts w:eastAsiaTheme="minorEastAsia"/>
        </w:rPr>
        <w:t>й</w:t>
      </w:r>
      <w:proofErr w:type="spellEnd"/>
      <w:r w:rsidRPr="009A1B45">
        <w:rPr>
          <w:rFonts w:eastAsiaTheme="minorEastAsia"/>
        </w:rPr>
        <w:t xml:space="preserve"> породы выполняются следующие однотипные действия. </w:t>
      </w:r>
    </w:p>
    <w:p w:rsidR="00CB3470" w:rsidRPr="009A1B45" w:rsidRDefault="00CB3470" w:rsidP="00CB3470">
      <w:pPr>
        <w:ind w:firstLine="709"/>
        <w:rPr>
          <w:rFonts w:eastAsiaTheme="minorEastAsia"/>
        </w:rPr>
      </w:pPr>
      <w:r w:rsidRPr="009A1B45">
        <w:rPr>
          <w:rFonts w:eastAsiaTheme="minorEastAsia"/>
        </w:rPr>
        <w:t xml:space="preserve">2.1. Визуально оператором выбирается точка, соответствующая центру кроны (ЦК). </w:t>
      </w:r>
      <w:r w:rsidRPr="009A1B45">
        <w:rPr>
          <w:rFonts w:eastAsiaTheme="minorEastAsia"/>
        </w:rPr>
        <w:lastRenderedPageBreak/>
        <w:t>Заметим, что некоторым усложнением алгоритма за счет включения специальных поисковых процедур, например, Бокса-Уилсона [2-4], можно построить и строгую процедуру выявления координат ЦК из произвольной начальной точки региона, соответствующего конкретному экземпляру дерева.</w:t>
      </w:r>
    </w:p>
    <w:p w:rsidR="00CB3470" w:rsidRPr="009A1B45" w:rsidRDefault="00CB3470" w:rsidP="00CB3470">
      <w:pPr>
        <w:ind w:firstLine="709"/>
        <w:rPr>
          <w:i/>
        </w:rPr>
      </w:pPr>
      <w:r w:rsidRPr="009A1B45">
        <w:rPr>
          <w:rFonts w:eastAsiaTheme="minorEastAsia"/>
        </w:rPr>
        <w:t>2.2. От ЦК вдоль исходящих радиусов с дискретным шагом определяются значения интенсивности, что составит, по множеству радиусов, ансамбль реализаций случайной функции</w:t>
      </w:r>
      <w:proofErr w:type="gramStart"/>
      <w:r w:rsidRPr="009A1B45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d(r)</m:t>
        </m:r>
      </m:oMath>
      <w:r w:rsidRPr="009A1B45">
        <w:rPr>
          <w:rFonts w:eastAsiaTheme="minorEastAsia"/>
        </w:rPr>
        <w:t xml:space="preserve">. </w:t>
      </w:r>
      <w:proofErr w:type="gramEnd"/>
      <w:r w:rsidRPr="009A1B45">
        <w:rPr>
          <w:rFonts w:eastAsiaTheme="minorEastAsia"/>
        </w:rPr>
        <w:t xml:space="preserve">Далее следует определить среднюю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rFonts w:eastAsiaTheme="minorEastAsia"/>
        </w:rPr>
        <w:t xml:space="preserve"> по ансамблю функцию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(r)</m:t>
        </m:r>
      </m:oMath>
      <w:r w:rsidRPr="009A1B45">
        <w:rPr>
          <w:rFonts w:eastAsiaTheme="minorEastAsia"/>
        </w:rPr>
        <w:t xml:space="preserve"> (для нормированной версии </w:t>
      </w:r>
      <w:r w:rsidRPr="009A1B45">
        <w:t>–</w:t>
      </w:r>
      <m:oMath>
        <m:r>
          <w:rPr>
            <w:rFonts w:ascii="Cambria Math" w:eastAsiaTheme="minorEastAsia" w:hAnsi="Cambria Math"/>
          </w:rPr>
          <m:t>r∈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</m:oMath>
      <w:r w:rsidRPr="009A1B45">
        <w:rPr>
          <w:rFonts w:eastAsiaTheme="minorEastAsia"/>
        </w:rPr>
        <w:t xml:space="preserve">). </w:t>
      </w:r>
    </w:p>
    <w:p w:rsidR="00CB3470" w:rsidRDefault="00CB3470" w:rsidP="00CB3470">
      <w:pPr>
        <w:ind w:firstLine="709"/>
      </w:pPr>
      <w:r w:rsidRPr="009A1B45">
        <w:t xml:space="preserve">Фрагмент данных, полученных в режиме имитационного моделирования для 5-ти реализаций, определенных по радиальным сечениям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…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9A1B45">
        <w:t xml:space="preserve"> , приведен в таблице 1.</w:t>
      </w:r>
    </w:p>
    <w:p w:rsidR="00CB3470" w:rsidRPr="009A1B45" w:rsidRDefault="00CB3470" w:rsidP="00CB3470">
      <w:pPr>
        <w:ind w:firstLine="709"/>
        <w:rPr>
          <w:b/>
        </w:rPr>
      </w:pPr>
      <w:r w:rsidRPr="009A1B45">
        <w:rPr>
          <w:b/>
        </w:rPr>
        <w:t>Алгоритм построения функции интенсивности</w:t>
      </w:r>
    </w:p>
    <w:p w:rsidR="00CB3470" w:rsidRPr="009A1B45" w:rsidRDefault="00CB3470" w:rsidP="00CB3470">
      <w:pPr>
        <w:ind w:firstLine="709"/>
      </w:pPr>
      <w:r w:rsidRPr="009A1B45">
        <w:t>В рабочем регионе изображения выделить множество крон и построить для каждой из них среднюю функцию интенсивности</w:t>
      </w:r>
      <w:proofErr w:type="gramStart"/>
      <w:r w:rsidRPr="009A1B45">
        <w:t xml:space="preserve"> </w:t>
      </w:r>
      <w:r w:rsidRPr="009A1B45">
        <w:rPr>
          <w:rFonts w:ascii="Cambria Math" w:hAnsi="Cambria Math"/>
        </w:rPr>
        <w:br/>
      </w:r>
      <m:oMath>
        <m:r>
          <w:rPr>
            <w:rFonts w:ascii="Cambria Math" w:hAnsi="Cambria Math"/>
          </w:rPr>
          <m:t>d(r)</m:t>
        </m:r>
      </m:oMath>
      <w:r w:rsidRPr="009A1B45">
        <w:rPr>
          <w:rFonts w:eastAsiaTheme="minorEastAsia"/>
        </w:rPr>
        <w:t xml:space="preserve">, </w:t>
      </w:r>
      <w:proofErr w:type="gramEnd"/>
      <w:r w:rsidRPr="009A1B45">
        <w:rPr>
          <w:rFonts w:eastAsiaTheme="minorEastAsia"/>
        </w:rPr>
        <w:t xml:space="preserve">которая </w:t>
      </w:r>
      <w:r w:rsidRPr="009A1B45">
        <w:t>может быть аппроксимирована аналитической (регрессионной) функцией интенсивности (АФИ) второго порядка вида:</w:t>
      </w:r>
    </w:p>
    <w:p w:rsidR="00CB3470" w:rsidRPr="009A1B45" w:rsidRDefault="00CB3470" w:rsidP="00CB3470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=a+br+c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.                                          (1)</m:t>
          </m:r>
        </m:oMath>
      </m:oMathPara>
    </w:p>
    <w:p w:rsidR="00CB3470" w:rsidRPr="009A1B45" w:rsidRDefault="00CB3470" w:rsidP="00CB3470">
      <w:pPr>
        <w:ind w:firstLine="709"/>
      </w:pPr>
      <w:r w:rsidRPr="009A1B45">
        <w:t xml:space="preserve">Здесь, как и для ЭФИ, будем считать переменную и аргумент нормированными: </w:t>
      </w:r>
      <m:oMath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,r∈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 w:rsidRPr="009A1B45">
        <w:rPr>
          <w:rFonts w:eastAsiaTheme="minorEastAsia"/>
        </w:rPr>
        <w:t xml:space="preserve">, откуда, очевидно, в (1) для всех типов крон коэффициент </w:t>
      </w:r>
      <m:oMath>
        <m:r>
          <w:rPr>
            <w:rFonts w:ascii="Cambria Math" w:eastAsiaTheme="minorEastAsia" w:hAnsi="Cambria Math"/>
          </w:rPr>
          <m:t>a=1</m:t>
        </m:r>
      </m:oMath>
      <w:r w:rsidRPr="009A1B45">
        <w:rPr>
          <w:rFonts w:eastAsiaTheme="minorEastAsia"/>
        </w:rPr>
        <w:t xml:space="preserve">. Поскольку интенсивность монотонно убывает для любых типов деревьев, коэффициент </w:t>
      </w:r>
      <m:oMath>
        <m:r>
          <w:rPr>
            <w:rFonts w:ascii="Cambria Math" w:hAnsi="Cambria Math"/>
          </w:rPr>
          <m:t>b</m:t>
        </m:r>
      </m:oMath>
      <w:r w:rsidRPr="009A1B45">
        <w:rPr>
          <w:rFonts w:eastAsiaTheme="minorEastAsia"/>
        </w:rPr>
        <w:t xml:space="preserve"> всегда будет неположительным, а коэффициент </w:t>
      </w:r>
      <m:oMath>
        <m:r>
          <w:rPr>
            <w:rFonts w:ascii="Cambria Math" w:hAnsi="Cambria Math"/>
          </w:rPr>
          <m:t>c</m:t>
        </m:r>
      </m:oMath>
      <w:r w:rsidRPr="009A1B45">
        <w:rPr>
          <w:rFonts w:eastAsiaTheme="minorEastAsia"/>
        </w:rPr>
        <w:t xml:space="preserve"> может быть любым по знаку. Таким образом, все породы будут отличаться значениями двух коэффициентов: </w:t>
      </w:r>
      <m:oMath>
        <m:r>
          <w:rPr>
            <w:rFonts w:ascii="Cambria Math" w:hAnsi="Cambria Math"/>
          </w:rPr>
          <m:t xml:space="preserve">b и </m:t>
        </m:r>
        <m:r>
          <w:rPr>
            <w:rFonts w:ascii="Cambria Math" w:hAnsi="Cambria Math"/>
            <w:lang w:val="en-US"/>
          </w:rPr>
          <m:t>c</m:t>
        </m:r>
      </m:oMath>
      <w:r w:rsidRPr="009A1B45">
        <w:rPr>
          <w:rFonts w:eastAsiaTheme="minorEastAsia"/>
        </w:rPr>
        <w:t xml:space="preserve">, которые можно представить в виде точек на плоскости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hAnsi="Cambria Math"/>
          </w:rPr>
          <m:t xml:space="preserve">b, 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)</m:t>
        </m:r>
      </m:oMath>
      <w:r w:rsidRPr="009A1B45">
        <w:rPr>
          <w:rFonts w:eastAsiaTheme="minorEastAsia"/>
        </w:rPr>
        <w:t>. Тогда различные породы будут образовывать компактные кластеры (</w:t>
      </w:r>
      <w:proofErr w:type="gramStart"/>
      <w:r w:rsidRPr="009A1B45">
        <w:rPr>
          <w:rFonts w:eastAsiaTheme="minorEastAsia"/>
        </w:rPr>
        <w:t>см</w:t>
      </w:r>
      <w:proofErr w:type="gramEnd"/>
      <w:r w:rsidRPr="009A1B45">
        <w:rPr>
          <w:rFonts w:eastAsiaTheme="minorEastAsia"/>
        </w:rPr>
        <w:t>. рис. 2).</w:t>
      </w:r>
    </w:p>
    <w:p w:rsidR="00CB3470" w:rsidRPr="009A1B45" w:rsidRDefault="00CB3470" w:rsidP="00CB3470">
      <w:pPr>
        <w:ind w:firstLine="709"/>
      </w:pPr>
    </w:p>
    <w:p w:rsidR="00CB3470" w:rsidRPr="004974E1" w:rsidRDefault="00CB3470" w:rsidP="00CB3470">
      <w:pPr>
        <w:jc w:val="center"/>
        <w:rPr>
          <w:b/>
          <w:sz w:val="22"/>
          <w:szCs w:val="22"/>
        </w:rPr>
      </w:pPr>
      <w:r w:rsidRPr="004974E1">
        <w:rPr>
          <w:b/>
          <w:sz w:val="22"/>
          <w:szCs w:val="22"/>
        </w:rPr>
        <w:t>Таблица 1 – Таблица радиальных измерений</w:t>
      </w:r>
    </w:p>
    <w:tbl>
      <w:tblPr>
        <w:tblW w:w="5467" w:type="dxa"/>
        <w:jc w:val="center"/>
        <w:tblLook w:val="04A0"/>
      </w:tblPr>
      <w:tblGrid>
        <w:gridCol w:w="316"/>
        <w:gridCol w:w="829"/>
        <w:gridCol w:w="751"/>
        <w:gridCol w:w="756"/>
        <w:gridCol w:w="751"/>
        <w:gridCol w:w="751"/>
        <w:gridCol w:w="751"/>
        <w:gridCol w:w="914"/>
      </w:tblGrid>
      <w:tr w:rsidR="00CB3470" w:rsidRPr="009A1B45" w:rsidTr="00D06F5B">
        <w:trPr>
          <w:trHeight w:val="249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</w:pPr>
            <w:r w:rsidRPr="009A1B45">
              <w:t>Радиус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</w:pPr>
            <w:r w:rsidRPr="009A1B45">
              <w:t>r1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</w:pPr>
            <w:r w:rsidRPr="009A1B45">
              <w:t>r2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</w:pPr>
            <w:r w:rsidRPr="009A1B45">
              <w:t>r3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</w:pPr>
            <w:r w:rsidRPr="009A1B45">
              <w:t>r4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</w:pPr>
            <w:r w:rsidRPr="009A1B45">
              <w:t>r5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</w:pPr>
            <w:r w:rsidRPr="009A1B45">
              <w:t>ЭФИ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</w:pPr>
            <w:r w:rsidRPr="009A1B45">
              <w:t>Угол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240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</w:pPr>
            <w:proofErr w:type="spellStart"/>
            <w:r w:rsidRPr="009A1B45">
              <w:t>Средн</w:t>
            </w:r>
            <w:proofErr w:type="spellEnd"/>
            <w:r w:rsidRPr="009A1B45">
              <w:t>.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(r)</m:t>
                </m:r>
              </m:oMath>
            </m:oMathPara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(r)</m:t>
                </m:r>
              </m:oMath>
            </m:oMathPara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(r)</m:t>
                </m:r>
              </m:oMath>
            </m:oMathPara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(r)</m:t>
                </m:r>
              </m:oMath>
            </m:oMathPara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(r)</m:t>
                </m:r>
              </m:oMath>
            </m:oMathPara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(r)</m:t>
                </m:r>
              </m:oMath>
            </m:oMathPara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70" w:rsidRPr="009A1B45" w:rsidRDefault="004831E6" w:rsidP="00D06F5B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(r)</m:t>
                </m:r>
              </m:oMath>
            </m:oMathPara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0.90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0.99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0.98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0.89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0.94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0.92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0.94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0.98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0.93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0.97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0.99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0.96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0.87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0.92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0.96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0.85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0.88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0.86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0.91</w:t>
            </w:r>
          </w:p>
        </w:tc>
      </w:tr>
      <w:tr w:rsidR="00CB3470" w:rsidRPr="009A1B45" w:rsidTr="00D06F5B">
        <w:trPr>
          <w:trHeight w:val="249"/>
          <w:jc w:val="center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1.00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0.89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3470" w:rsidRPr="009A1B45" w:rsidRDefault="00CB3470" w:rsidP="00D06F5B">
            <w:pPr>
              <w:ind w:firstLine="0"/>
              <w:jc w:val="right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0.99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9A1B45" w:rsidRDefault="00CB3470" w:rsidP="00D06F5B">
            <w:pPr>
              <w:ind w:firstLine="0"/>
              <w:jc w:val="center"/>
              <w:rPr>
                <w:rFonts w:ascii="Cambria Math" w:hAnsi="Cambria Math"/>
              </w:rPr>
            </w:pPr>
            <w:r w:rsidRPr="009A1B45">
              <w:rPr>
                <w:rFonts w:ascii="Cambria Math" w:hAnsi="Cambria Math"/>
              </w:rPr>
              <w:t>0.94</w:t>
            </w:r>
          </w:p>
        </w:tc>
      </w:tr>
    </w:tbl>
    <w:p w:rsidR="00CB3470" w:rsidRPr="009A1B45" w:rsidRDefault="00CB3470" w:rsidP="00CB3470">
      <w:pPr>
        <w:ind w:firstLine="709"/>
      </w:pPr>
    </w:p>
    <w:p w:rsidR="00CB3470" w:rsidRPr="009A1B45" w:rsidRDefault="00CB3470" w:rsidP="00CB3470">
      <w:pPr>
        <w:ind w:firstLine="0"/>
        <w:rPr>
          <w:rFonts w:eastAsiaTheme="minorEastAsia"/>
        </w:rPr>
      </w:pPr>
      <w:r w:rsidRPr="009A1B45">
        <w:rPr>
          <w:rFonts w:eastAsiaTheme="min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231775</wp:posOffset>
            </wp:positionV>
            <wp:extent cx="3582670" cy="1963420"/>
            <wp:effectExtent l="0" t="0" r="0" b="0"/>
            <wp:wrapTopAndBottom/>
            <wp:docPr id="2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3470" w:rsidRPr="004974E1" w:rsidRDefault="00CB3470" w:rsidP="00CB3470">
      <w:pPr>
        <w:ind w:firstLine="0"/>
        <w:jc w:val="center"/>
        <w:rPr>
          <w:rFonts w:eastAsiaTheme="minorEastAsia"/>
          <w:sz w:val="22"/>
          <w:szCs w:val="22"/>
        </w:rPr>
      </w:pPr>
      <w:r w:rsidRPr="004974E1">
        <w:rPr>
          <w:b/>
          <w:noProof/>
          <w:sz w:val="22"/>
          <w:szCs w:val="22"/>
        </w:rPr>
        <w:lastRenderedPageBreak/>
        <w:t>Рисунок 2 – Кластеры пород</w:t>
      </w:r>
    </w:p>
    <w:p w:rsidR="00CB3470" w:rsidRPr="009A1B45" w:rsidRDefault="00CB3470" w:rsidP="00CB3470">
      <w:pPr>
        <w:ind w:firstLine="709"/>
        <w:rPr>
          <w:rFonts w:eastAsiaTheme="minorEastAsia"/>
        </w:rPr>
      </w:pPr>
    </w:p>
    <w:p w:rsidR="00CB3470" w:rsidRPr="009A1B45" w:rsidRDefault="00CB3470" w:rsidP="00CB3470">
      <w:pPr>
        <w:ind w:firstLine="709"/>
        <w:rPr>
          <w:rFonts w:eastAsiaTheme="minorEastAsia"/>
        </w:rPr>
      </w:pPr>
      <w:r w:rsidRPr="009A1B45">
        <w:rPr>
          <w:rFonts w:eastAsiaTheme="minorEastAsia"/>
        </w:rPr>
        <w:t xml:space="preserve">Аппроксимацию функций интенсивности можно выполнить, например, средствами опции «Регрессия» надстройки «Анализ данных» </w:t>
      </w:r>
      <w:proofErr w:type="spellStart"/>
      <w:r w:rsidRPr="009A1B45">
        <w:rPr>
          <w:rFonts w:eastAsiaTheme="minorEastAsia"/>
          <w:lang w:val="en-US"/>
        </w:rPr>
        <w:t>MSExcel</w:t>
      </w:r>
      <w:proofErr w:type="spellEnd"/>
      <w:r w:rsidRPr="009A1B45">
        <w:rPr>
          <w:rFonts w:eastAsiaTheme="minorEastAsia"/>
        </w:rPr>
        <w:t xml:space="preserve">. В тех случаях, когда квадратичная модель будет иметь неудовлетворительные показатели аппроксимации (например,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9A1B45">
        <w:rPr>
          <w:rFonts w:eastAsiaTheme="minorEastAsia"/>
        </w:rPr>
        <w:t xml:space="preserve">), то степень полинома (1) можно увеличить, что позволит более тонко представить функцию интенсивности.  </w:t>
      </w:r>
    </w:p>
    <w:p w:rsidR="00CB3470" w:rsidRPr="009A1B45" w:rsidRDefault="00CB3470" w:rsidP="00CB3470">
      <w:pPr>
        <w:ind w:firstLine="0"/>
        <w:rPr>
          <w:rFonts w:eastAsiaTheme="minorEastAsia"/>
        </w:rPr>
      </w:pPr>
      <w:r w:rsidRPr="009A1B45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456565</wp:posOffset>
            </wp:positionV>
            <wp:extent cx="2980055" cy="1864360"/>
            <wp:effectExtent l="0" t="0" r="0" b="0"/>
            <wp:wrapTopAndBottom/>
            <wp:docPr id="26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86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1B45">
        <w:rPr>
          <w:rFonts w:eastAsiaTheme="minorEastAsia"/>
        </w:rPr>
        <w:t>По данным имитационного эксперимента функция интенсивности для одной из трех пород (ель, сосна, дуб) приведены на рисунке 3.</w:t>
      </w:r>
    </w:p>
    <w:p w:rsidR="00CB3470" w:rsidRPr="009A1B45" w:rsidRDefault="00CB3470" w:rsidP="00CB3470">
      <w:pPr>
        <w:ind w:firstLine="0"/>
        <w:jc w:val="center"/>
        <w:rPr>
          <w:b/>
          <w:noProof/>
        </w:rPr>
      </w:pPr>
    </w:p>
    <w:p w:rsidR="00CB3470" w:rsidRPr="004974E1" w:rsidRDefault="00CB3470" w:rsidP="00CB3470">
      <w:pPr>
        <w:ind w:firstLine="0"/>
        <w:jc w:val="center"/>
        <w:rPr>
          <w:b/>
          <w:noProof/>
          <w:sz w:val="22"/>
          <w:szCs w:val="22"/>
        </w:rPr>
      </w:pPr>
      <w:r w:rsidRPr="004974E1">
        <w:rPr>
          <w:b/>
          <w:noProof/>
          <w:sz w:val="22"/>
          <w:szCs w:val="22"/>
        </w:rPr>
        <w:t>Рисунок 3 – Функция интенсивности сосны</w:t>
      </w:r>
    </w:p>
    <w:p w:rsidR="00CB3470" w:rsidRPr="009A1B45" w:rsidRDefault="00CB3470" w:rsidP="00CB3470">
      <w:pPr>
        <w:ind w:firstLine="567"/>
        <w:rPr>
          <w:rFonts w:eastAsiaTheme="minorEastAsia"/>
        </w:rPr>
      </w:pPr>
    </w:p>
    <w:p w:rsidR="00CB3470" w:rsidRPr="009A1B45" w:rsidRDefault="00CB3470" w:rsidP="00CB3470">
      <w:pPr>
        <w:ind w:firstLine="567"/>
      </w:pPr>
      <w:r w:rsidRPr="009A1B45">
        <w:rPr>
          <w:b/>
        </w:rPr>
        <w:t>Алгоритм распознавания породы</w:t>
      </w:r>
    </w:p>
    <w:p w:rsidR="00CB3470" w:rsidRPr="009A1B45" w:rsidRDefault="00CB3470" w:rsidP="00CB3470">
      <w:pPr>
        <w:ind w:firstLine="567"/>
      </w:pPr>
      <w:r w:rsidRPr="009A1B45">
        <w:t xml:space="preserve">Распознавание строится на основе вычисления значений </w:t>
      </w:r>
      <w:r w:rsidRPr="009A1B45">
        <w:rPr>
          <w:u w:val="single"/>
        </w:rPr>
        <w:t>показателей соответствия</w:t>
      </w:r>
      <w:r w:rsidRPr="009A1B45">
        <w:t xml:space="preserve"> пар функций интенсивностей. Одним из элементов пары является ЭФИ эталона, а вторым – функция интенсивности тестируемой кроны. В табл. 2 приведены значения таких показателей как </w:t>
      </w:r>
      <w:r w:rsidRPr="009A1B45">
        <w:rPr>
          <w:u w:val="single"/>
        </w:rPr>
        <w:t>коэффициент корреляции</w:t>
      </w:r>
      <w:r w:rsidRPr="009A1B45">
        <w:t xml:space="preserve"> и </w:t>
      </w:r>
      <w:r w:rsidRPr="009A1B45">
        <w:rPr>
          <w:u w:val="single"/>
        </w:rPr>
        <w:t>сумма квадратов невязок</w:t>
      </w:r>
      <w:r w:rsidRPr="009A1B45">
        <w:t xml:space="preserve">. В таблице 2 приведены данные для имитации распознавания ели. </w:t>
      </w:r>
    </w:p>
    <w:p w:rsidR="00CB3470" w:rsidRPr="009A1B45" w:rsidRDefault="00CB3470" w:rsidP="00CB3470">
      <w:pPr>
        <w:ind w:firstLine="567"/>
        <w:rPr>
          <w:b/>
        </w:rPr>
      </w:pPr>
      <w:r w:rsidRPr="009A1B45">
        <w:rPr>
          <w:b/>
        </w:rPr>
        <w:t>Имитационный эксперимент</w:t>
      </w:r>
    </w:p>
    <w:p w:rsidR="00CB3470" w:rsidRPr="009A1B45" w:rsidRDefault="00CB3470" w:rsidP="00CB3470">
      <w:pPr>
        <w:ind w:firstLine="567"/>
      </w:pPr>
      <w:r w:rsidRPr="009A1B45">
        <w:t>Анализ, проведенный на данных имитационного эксперимента (</w:t>
      </w:r>
      <w:proofErr w:type="gramStart"/>
      <w:r w:rsidRPr="009A1B45">
        <w:t>см</w:t>
      </w:r>
      <w:proofErr w:type="gramEnd"/>
      <w:r w:rsidRPr="009A1B45">
        <w:t>. рис. 4) показал, что для тех же трех типов пород деревьев, по коэффициенту корреляции (табл. 2) распознано 100% случаев, а по сумме квадратов невязки – лишь 30%.</w:t>
      </w:r>
    </w:p>
    <w:p w:rsidR="00CB3470" w:rsidRPr="009A1B45" w:rsidRDefault="00CB3470" w:rsidP="00CB3470">
      <w:pPr>
        <w:ind w:firstLine="0"/>
      </w:pPr>
      <w:r w:rsidRPr="009A1B4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65405</wp:posOffset>
            </wp:positionV>
            <wp:extent cx="2802255" cy="1676400"/>
            <wp:effectExtent l="0" t="0" r="0" b="0"/>
            <wp:wrapTopAndBottom/>
            <wp:docPr id="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3470" w:rsidRPr="004974E1" w:rsidRDefault="00CB3470" w:rsidP="00CB3470">
      <w:pPr>
        <w:ind w:firstLine="0"/>
        <w:jc w:val="center"/>
        <w:rPr>
          <w:b/>
          <w:sz w:val="22"/>
          <w:szCs w:val="22"/>
        </w:rPr>
      </w:pPr>
      <w:r w:rsidRPr="004974E1">
        <w:rPr>
          <w:b/>
          <w:noProof/>
          <w:sz w:val="22"/>
          <w:szCs w:val="22"/>
        </w:rPr>
        <w:t xml:space="preserve">Рисунок 4 </w:t>
      </w:r>
      <w:r w:rsidRPr="004974E1">
        <w:rPr>
          <w:b/>
          <w:sz w:val="22"/>
          <w:szCs w:val="22"/>
        </w:rPr>
        <w:t>–</w:t>
      </w:r>
      <w:r w:rsidRPr="004974E1">
        <w:rPr>
          <w:b/>
          <w:noProof/>
          <w:sz w:val="22"/>
          <w:szCs w:val="22"/>
        </w:rPr>
        <w:t xml:space="preserve"> Эталонные и тестовая функции интенсивности</w:t>
      </w:r>
    </w:p>
    <w:p w:rsidR="00CB3470" w:rsidRPr="009A1B45" w:rsidRDefault="00CB3470" w:rsidP="00CB3470"/>
    <w:p w:rsidR="00CB3470" w:rsidRPr="004974E1" w:rsidRDefault="00CB3470" w:rsidP="00CB3470">
      <w:pPr>
        <w:ind w:firstLine="0"/>
        <w:jc w:val="center"/>
        <w:rPr>
          <w:b/>
          <w:sz w:val="22"/>
          <w:szCs w:val="22"/>
        </w:rPr>
      </w:pPr>
      <w:r w:rsidRPr="004974E1">
        <w:rPr>
          <w:b/>
          <w:sz w:val="22"/>
          <w:szCs w:val="22"/>
        </w:rPr>
        <w:t>Таблица 2 – Таблица радиальных измерений</w:t>
      </w:r>
    </w:p>
    <w:tbl>
      <w:tblPr>
        <w:tblW w:w="4352" w:type="dxa"/>
        <w:jc w:val="center"/>
        <w:tblLook w:val="04A0"/>
      </w:tblPr>
      <w:tblGrid>
        <w:gridCol w:w="750"/>
        <w:gridCol w:w="1637"/>
        <w:gridCol w:w="1965"/>
      </w:tblGrid>
      <w:tr w:rsidR="00CB3470" w:rsidRPr="004974E1" w:rsidTr="00D06F5B">
        <w:trPr>
          <w:trHeight w:val="49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974E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974E1">
              <w:rPr>
                <w:bCs/>
                <w:sz w:val="22"/>
                <w:szCs w:val="22"/>
              </w:rPr>
              <w:t>/</w:t>
            </w:r>
            <w:proofErr w:type="spellStart"/>
            <w:r w:rsidRPr="004974E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Коэффициент корреляции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Сумма квадратов невязок</w:t>
            </w:r>
          </w:p>
        </w:tc>
      </w:tr>
      <w:tr w:rsidR="00CB3470" w:rsidRPr="004974E1" w:rsidTr="00D06F5B">
        <w:trPr>
          <w:trHeight w:val="25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0.981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1.387</w:t>
            </w:r>
          </w:p>
        </w:tc>
      </w:tr>
      <w:tr w:rsidR="00CB3470" w:rsidRPr="004974E1" w:rsidTr="00D06F5B">
        <w:trPr>
          <w:trHeight w:val="25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0.951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1.835</w:t>
            </w:r>
          </w:p>
        </w:tc>
      </w:tr>
      <w:tr w:rsidR="00CB3470" w:rsidRPr="004974E1" w:rsidTr="00D06F5B">
        <w:trPr>
          <w:trHeight w:val="25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0.944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70" w:rsidRPr="004974E1" w:rsidRDefault="00CB3470" w:rsidP="00D06F5B">
            <w:pPr>
              <w:ind w:firstLine="0"/>
              <w:jc w:val="center"/>
              <w:rPr>
                <w:bCs/>
              </w:rPr>
            </w:pPr>
            <w:r w:rsidRPr="004974E1">
              <w:rPr>
                <w:bCs/>
                <w:sz w:val="22"/>
                <w:szCs w:val="22"/>
              </w:rPr>
              <w:t>0.961</w:t>
            </w:r>
          </w:p>
        </w:tc>
      </w:tr>
    </w:tbl>
    <w:p w:rsidR="00CB3470" w:rsidRPr="009A1B45" w:rsidRDefault="00CB3470" w:rsidP="00CB3470">
      <w:pPr>
        <w:ind w:firstLine="567"/>
      </w:pPr>
    </w:p>
    <w:p w:rsidR="00CB3470" w:rsidRPr="009A1B45" w:rsidRDefault="00CB3470" w:rsidP="00CB3470">
      <w:pPr>
        <w:ind w:firstLine="454"/>
        <w:rPr>
          <w:b/>
        </w:rPr>
      </w:pPr>
      <w:r w:rsidRPr="009A1B45">
        <w:rPr>
          <w:b/>
        </w:rPr>
        <w:lastRenderedPageBreak/>
        <w:t>Выводы</w:t>
      </w:r>
    </w:p>
    <w:p w:rsidR="00CB3470" w:rsidRPr="009A1B45" w:rsidRDefault="00CB3470" w:rsidP="00CB3470">
      <w:pPr>
        <w:ind w:firstLine="454"/>
      </w:pPr>
      <w:r w:rsidRPr="009A1B45">
        <w:t xml:space="preserve">1. Предложенный метод анализа изображений, на предмет распознавания объектов, в режиме имитационного эксперимента, по основным параметрам близкого </w:t>
      </w:r>
      <w:proofErr w:type="gramStart"/>
      <w:r w:rsidRPr="009A1B45">
        <w:t>к</w:t>
      </w:r>
      <w:proofErr w:type="gramEnd"/>
      <w:r w:rsidRPr="009A1B45">
        <w:t xml:space="preserve"> реальным, показал свою работоспособность. </w:t>
      </w:r>
    </w:p>
    <w:p w:rsidR="00CB3470" w:rsidRPr="009A1B45" w:rsidRDefault="00CB3470" w:rsidP="00CB3470">
      <w:pPr>
        <w:ind w:firstLine="454"/>
      </w:pPr>
      <w:r w:rsidRPr="009A1B45">
        <w:t xml:space="preserve">2. В состав метода включены хорошо зарекомендовавшие себя алгоритмы статистического анализа, что позволяет считать элементы метода в достаточной степени апробированными. </w:t>
      </w:r>
    </w:p>
    <w:p w:rsidR="00CB3470" w:rsidRPr="009A1B45" w:rsidRDefault="00CB3470" w:rsidP="00CB3470">
      <w:pPr>
        <w:ind w:firstLine="454"/>
      </w:pPr>
      <w:r w:rsidRPr="009A1B45">
        <w:t xml:space="preserve">3. В качестве задач дальнейшего исследования метода представляется целесообразным проанализировать его эффективность для других типов изображений, например, ситуационных сцен в робототехнике, а также проанализировать вопросы распознавания в режиме </w:t>
      </w:r>
      <w:r w:rsidRPr="009A1B45">
        <w:rPr>
          <w:i/>
          <w:lang w:val="en-US"/>
        </w:rPr>
        <w:t>on</w:t>
      </w:r>
      <w:r w:rsidRPr="009A1B45">
        <w:rPr>
          <w:i/>
        </w:rPr>
        <w:t>-</w:t>
      </w:r>
      <w:r w:rsidRPr="009A1B45">
        <w:rPr>
          <w:i/>
          <w:lang w:val="en-US"/>
        </w:rPr>
        <w:t>line</w:t>
      </w:r>
      <w:r w:rsidRPr="009A1B45">
        <w:t>.</w:t>
      </w:r>
    </w:p>
    <w:p w:rsidR="00CB3470" w:rsidRPr="009A1B45" w:rsidRDefault="00CB3470" w:rsidP="00CB3470">
      <w:pPr>
        <w:ind w:firstLine="454"/>
      </w:pPr>
    </w:p>
    <w:p w:rsidR="00CB3470" w:rsidRPr="009A1B45" w:rsidRDefault="00CB3470" w:rsidP="00CB3470">
      <w:pPr>
        <w:ind w:firstLine="0"/>
        <w:jc w:val="center"/>
        <w:rPr>
          <w:i/>
        </w:rPr>
      </w:pPr>
      <w:r w:rsidRPr="009A1B45">
        <w:rPr>
          <w:i/>
        </w:rPr>
        <w:t>Литература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proofErr w:type="spellStart"/>
      <w:r w:rsidRPr="00D74E9F">
        <w:t>Вапник</w:t>
      </w:r>
      <w:proofErr w:type="spellEnd"/>
      <w:r w:rsidRPr="00D74E9F">
        <w:t xml:space="preserve">, В. Н. Теория распознавания образов / В. Н. </w:t>
      </w:r>
      <w:proofErr w:type="spellStart"/>
      <w:r w:rsidRPr="00D74E9F">
        <w:t>Вапник</w:t>
      </w:r>
      <w:proofErr w:type="spellEnd"/>
      <w:r w:rsidRPr="00D74E9F">
        <w:t xml:space="preserve">, А. Я. </w:t>
      </w:r>
      <w:proofErr w:type="spellStart"/>
      <w:r w:rsidRPr="00D74E9F">
        <w:t>Червоненкис</w:t>
      </w:r>
      <w:proofErr w:type="spellEnd"/>
      <w:r w:rsidRPr="00D74E9F">
        <w:t xml:space="preserve"> // М.: Наука. – 1974. – 416 </w:t>
      </w:r>
      <w:proofErr w:type="gramStart"/>
      <w:r w:rsidRPr="00D74E9F">
        <w:t>с</w:t>
      </w:r>
      <w:proofErr w:type="gramEnd"/>
      <w:r w:rsidRPr="00D74E9F">
        <w:t>.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proofErr w:type="spellStart"/>
      <w:r w:rsidRPr="00D74E9F">
        <w:t>Вилисов</w:t>
      </w:r>
      <w:proofErr w:type="spellEnd"/>
      <w:r w:rsidRPr="00D74E9F">
        <w:t xml:space="preserve">, В. Я. Адаптивные модели исследования операций в экономике / В. Я. </w:t>
      </w:r>
      <w:proofErr w:type="spellStart"/>
      <w:r w:rsidRPr="00D74E9F">
        <w:t>Вилисов</w:t>
      </w:r>
      <w:proofErr w:type="spellEnd"/>
      <w:r w:rsidRPr="00D74E9F">
        <w:t xml:space="preserve"> // М.: </w:t>
      </w:r>
      <w:proofErr w:type="spellStart"/>
      <w:r w:rsidRPr="00D74E9F">
        <w:t>Энит</w:t>
      </w:r>
      <w:proofErr w:type="spellEnd"/>
      <w:r w:rsidRPr="00D74E9F">
        <w:t xml:space="preserve">. – 2007. – 286 </w:t>
      </w:r>
      <w:proofErr w:type="gramStart"/>
      <w:r w:rsidRPr="00D74E9F">
        <w:t>с</w:t>
      </w:r>
      <w:proofErr w:type="gramEnd"/>
      <w:r w:rsidRPr="00D74E9F">
        <w:t>.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proofErr w:type="spellStart"/>
      <w:r w:rsidRPr="00D74E9F">
        <w:t>Вилисов</w:t>
      </w:r>
      <w:proofErr w:type="spellEnd"/>
      <w:r w:rsidRPr="00D74E9F">
        <w:t xml:space="preserve">, В. Я. Анализ динамики обучения робота в условиях </w:t>
      </w:r>
      <w:proofErr w:type="spellStart"/>
      <w:r w:rsidRPr="00D74E9F">
        <w:t>нестационарности</w:t>
      </w:r>
      <w:proofErr w:type="spellEnd"/>
      <w:r w:rsidRPr="00D74E9F">
        <w:t xml:space="preserve"> критериев / В. Я. </w:t>
      </w:r>
      <w:proofErr w:type="spellStart"/>
      <w:r w:rsidRPr="00D74E9F">
        <w:t>Вилисов</w:t>
      </w:r>
      <w:proofErr w:type="spellEnd"/>
      <w:r w:rsidRPr="00D74E9F">
        <w:t xml:space="preserve"> // Информационно-технологический вестник. – 2014. – № 2. – С. 34-39.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proofErr w:type="spellStart"/>
      <w:r w:rsidRPr="00D74E9F">
        <w:t>Вилисов</w:t>
      </w:r>
      <w:proofErr w:type="spellEnd"/>
      <w:r w:rsidRPr="00D74E9F">
        <w:t xml:space="preserve">, В. Я. Анализ эффективности обучения робота в условиях целевой </w:t>
      </w:r>
      <w:proofErr w:type="spellStart"/>
      <w:r w:rsidRPr="00D74E9F">
        <w:t>нестационарности</w:t>
      </w:r>
      <w:proofErr w:type="spellEnd"/>
      <w:r w:rsidRPr="00D74E9F">
        <w:t xml:space="preserve"> / В. Я. </w:t>
      </w:r>
      <w:proofErr w:type="spellStart"/>
      <w:r w:rsidRPr="00D74E9F">
        <w:t>Вилисов</w:t>
      </w:r>
      <w:proofErr w:type="spellEnd"/>
      <w:r w:rsidRPr="00D74E9F">
        <w:t xml:space="preserve"> // Вибрационные технологии, </w:t>
      </w:r>
      <w:proofErr w:type="spellStart"/>
      <w:r w:rsidRPr="00D74E9F">
        <w:t>мехатроника</w:t>
      </w:r>
      <w:proofErr w:type="spellEnd"/>
      <w:r w:rsidRPr="00D74E9F">
        <w:t xml:space="preserve"> и управляемые машины. Сборник научных статей по материалам </w:t>
      </w:r>
      <w:r w:rsidRPr="00E0495A">
        <w:rPr>
          <w:lang w:val="en-US"/>
        </w:rPr>
        <w:t>XI</w:t>
      </w:r>
      <w:r w:rsidRPr="00D74E9F">
        <w:t xml:space="preserve"> Международной научно-технической конференции: в 2 частях. – 2014. – Часть 2. – С. 282-287.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r w:rsidRPr="00D74E9F">
        <w:t xml:space="preserve">Гонсалес, Р. С. Цифровая обработка изображений / Р. С. Гонсалес, Р. Э. </w:t>
      </w:r>
      <w:proofErr w:type="spellStart"/>
      <w:r w:rsidRPr="00D74E9F">
        <w:t>Вудс</w:t>
      </w:r>
      <w:proofErr w:type="spellEnd"/>
      <w:r w:rsidRPr="00D74E9F">
        <w:t xml:space="preserve"> // М.: </w:t>
      </w:r>
      <w:proofErr w:type="spellStart"/>
      <w:r w:rsidRPr="00D74E9F">
        <w:t>Техносфера</w:t>
      </w:r>
      <w:proofErr w:type="spellEnd"/>
      <w:r w:rsidRPr="00D74E9F">
        <w:t xml:space="preserve">. – 2005. – 1070 </w:t>
      </w:r>
      <w:proofErr w:type="gramStart"/>
      <w:r w:rsidRPr="00D74E9F">
        <w:t>с</w:t>
      </w:r>
      <w:proofErr w:type="gramEnd"/>
      <w:r w:rsidRPr="00D74E9F">
        <w:t xml:space="preserve">. 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r w:rsidRPr="00D74E9F">
        <w:t xml:space="preserve">Горелик, А. Л. Методы распознавания / А. Л. Горелик, В. А. Скрипкин // </w:t>
      </w:r>
      <w:proofErr w:type="spellStart"/>
      <w:r w:rsidRPr="00D74E9F">
        <w:t>М.:Высшая</w:t>
      </w:r>
      <w:proofErr w:type="spellEnd"/>
      <w:r w:rsidRPr="00D74E9F">
        <w:t xml:space="preserve"> школа. – 2004. – 260 </w:t>
      </w:r>
      <w:proofErr w:type="gramStart"/>
      <w:r w:rsidRPr="00D74E9F">
        <w:t>с</w:t>
      </w:r>
      <w:proofErr w:type="gramEnd"/>
      <w:r w:rsidRPr="00D74E9F">
        <w:t xml:space="preserve">. 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r w:rsidRPr="00D74E9F">
        <w:t xml:space="preserve">Дуда, Р. Распознавание образов и анализ сцен  / Р. Дуда, П. </w:t>
      </w:r>
      <w:proofErr w:type="spellStart"/>
      <w:r w:rsidRPr="00D74E9F">
        <w:t>Харт</w:t>
      </w:r>
      <w:proofErr w:type="spellEnd"/>
      <w:r w:rsidRPr="00D74E9F">
        <w:t xml:space="preserve"> // </w:t>
      </w:r>
      <w:proofErr w:type="spellStart"/>
      <w:r w:rsidRPr="00D74E9F">
        <w:t>М.:Мир</w:t>
      </w:r>
      <w:proofErr w:type="spellEnd"/>
      <w:r w:rsidRPr="00D74E9F">
        <w:t xml:space="preserve">. – 511 </w:t>
      </w:r>
      <w:proofErr w:type="gramStart"/>
      <w:r w:rsidRPr="00D74E9F">
        <w:t>с</w:t>
      </w:r>
      <w:proofErr w:type="gramEnd"/>
      <w:r w:rsidRPr="00D74E9F">
        <w:t>.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r w:rsidRPr="00D74E9F">
        <w:t xml:space="preserve">Рассел, С. Искусственный интеллект: современный подход / С. Рассел, П. </w:t>
      </w:r>
      <w:proofErr w:type="spellStart"/>
      <w:r w:rsidRPr="00D74E9F">
        <w:t>Норвиг</w:t>
      </w:r>
      <w:proofErr w:type="spellEnd"/>
      <w:r w:rsidRPr="00D74E9F">
        <w:t xml:space="preserve"> // </w:t>
      </w:r>
      <w:proofErr w:type="spellStart"/>
      <w:r w:rsidRPr="00D74E9F">
        <w:t>М.:Изд</w:t>
      </w:r>
      <w:proofErr w:type="spellEnd"/>
      <w:r w:rsidRPr="00D74E9F">
        <w:t xml:space="preserve">. дом «Вильямс». – 2007. – 1408 </w:t>
      </w:r>
      <w:proofErr w:type="gramStart"/>
      <w:r w:rsidRPr="00D74E9F">
        <w:t>с</w:t>
      </w:r>
      <w:proofErr w:type="gramEnd"/>
      <w:r w:rsidRPr="00D74E9F">
        <w:t xml:space="preserve">. </w:t>
      </w:r>
    </w:p>
    <w:p w:rsidR="00CB3470" w:rsidRPr="00D74E9F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</w:pPr>
      <w:r w:rsidRPr="00D74E9F">
        <w:t xml:space="preserve">Шапиро, Л. Компьютерное зрение / Л. Шапиро, Дж. </w:t>
      </w:r>
      <w:proofErr w:type="spellStart"/>
      <w:r w:rsidRPr="00D74E9F">
        <w:t>Стокман</w:t>
      </w:r>
      <w:proofErr w:type="spellEnd"/>
      <w:r w:rsidRPr="00D74E9F">
        <w:t xml:space="preserve"> // М.:БИНОМ. Лаборатория знаний. – 2006. – 752 </w:t>
      </w:r>
      <w:proofErr w:type="gramStart"/>
      <w:r w:rsidRPr="00D74E9F">
        <w:t>с</w:t>
      </w:r>
      <w:proofErr w:type="gramEnd"/>
      <w:r w:rsidRPr="00D74E9F">
        <w:t xml:space="preserve">. </w:t>
      </w:r>
    </w:p>
    <w:p w:rsidR="00CB3470" w:rsidRPr="009A1B45" w:rsidRDefault="00CB3470" w:rsidP="00CB3470">
      <w:pPr>
        <w:pStyle w:val="a3"/>
        <w:numPr>
          <w:ilvl w:val="0"/>
          <w:numId w:val="4"/>
        </w:numPr>
        <w:tabs>
          <w:tab w:val="left" w:pos="426"/>
          <w:tab w:val="left" w:pos="1560"/>
        </w:tabs>
        <w:ind w:left="426" w:hanging="426"/>
        <w:rPr>
          <w:lang w:val="en-US"/>
        </w:rPr>
      </w:pPr>
      <w:r w:rsidRPr="009A1B45">
        <w:rPr>
          <w:lang w:val="en-US"/>
        </w:rPr>
        <w:t xml:space="preserve">Fukushima, K. </w:t>
      </w:r>
      <w:proofErr w:type="spellStart"/>
      <w:r w:rsidRPr="009A1B45">
        <w:rPr>
          <w:lang w:val="en-US"/>
        </w:rPr>
        <w:t>Neocognitron</w:t>
      </w:r>
      <w:proofErr w:type="spellEnd"/>
      <w:r w:rsidRPr="009A1B45">
        <w:rPr>
          <w:lang w:val="en-US"/>
        </w:rPr>
        <w:t xml:space="preserve"> for Handwritten Digit Recognition / K. Fukushima // </w:t>
      </w:r>
      <w:proofErr w:type="spellStart"/>
      <w:r w:rsidRPr="009A1B45">
        <w:rPr>
          <w:lang w:val="en-US"/>
        </w:rPr>
        <w:t>Neurocomputing</w:t>
      </w:r>
      <w:proofErr w:type="spellEnd"/>
      <w:r w:rsidRPr="009A1B45">
        <w:rPr>
          <w:lang w:val="en-US"/>
        </w:rPr>
        <w:t>. – 2003. – № 51. – pp. 161-180.</w:t>
      </w:r>
    </w:p>
    <w:p w:rsidR="00CB3470" w:rsidRPr="009A1B45" w:rsidRDefault="00CB3470" w:rsidP="00CB3470">
      <w:pPr>
        <w:pStyle w:val="a3"/>
        <w:tabs>
          <w:tab w:val="left" w:pos="426"/>
          <w:tab w:val="left" w:pos="1560"/>
        </w:tabs>
        <w:ind w:left="426"/>
        <w:rPr>
          <w:lang w:val="en-US"/>
        </w:rPr>
      </w:pPr>
    </w:p>
    <w:p w:rsidR="0060769B" w:rsidRPr="00CB3470" w:rsidRDefault="0060769B">
      <w:pPr>
        <w:rPr>
          <w:lang w:val="en-US"/>
        </w:rPr>
      </w:pPr>
      <w:bookmarkStart w:id="0" w:name="_GoBack"/>
      <w:bookmarkEnd w:id="0"/>
    </w:p>
    <w:sectPr w:rsidR="0060769B" w:rsidRPr="00CB3470" w:rsidSect="0048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9B4"/>
    <w:multiLevelType w:val="hybridMultilevel"/>
    <w:tmpl w:val="7B34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1680"/>
    <w:multiLevelType w:val="hybridMultilevel"/>
    <w:tmpl w:val="B632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44BDB"/>
    <w:multiLevelType w:val="hybridMultilevel"/>
    <w:tmpl w:val="A12A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5596D"/>
    <w:multiLevelType w:val="hybridMultilevel"/>
    <w:tmpl w:val="E8E2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470"/>
    <w:rsid w:val="002B321E"/>
    <w:rsid w:val="004831E6"/>
    <w:rsid w:val="0060769B"/>
    <w:rsid w:val="009976C9"/>
    <w:rsid w:val="00A407A5"/>
    <w:rsid w:val="00CB3470"/>
    <w:rsid w:val="00CD34AA"/>
    <w:rsid w:val="00FD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CB3470"/>
    <w:pPr>
      <w:widowControl/>
      <w:autoSpaceDE/>
      <w:autoSpaceDN/>
      <w:adjustRightInd/>
      <w:ind w:left="720" w:firstLine="0"/>
      <w:contextualSpacing/>
      <w:jc w:val="left"/>
    </w:p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rsid w:val="00CB3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CB3470"/>
    <w:pPr>
      <w:widowControl/>
      <w:autoSpaceDE/>
      <w:autoSpaceDN/>
      <w:adjustRightInd/>
      <w:ind w:left="720" w:firstLine="0"/>
      <w:contextualSpacing/>
      <w:jc w:val="left"/>
    </w:p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rsid w:val="00CB3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2200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Анна Андреевна</dc:creator>
  <cp:lastModifiedBy>Ольга свет Николавна</cp:lastModifiedBy>
  <cp:revision>2</cp:revision>
  <dcterms:created xsi:type="dcterms:W3CDTF">2019-03-18T17:30:00Z</dcterms:created>
  <dcterms:modified xsi:type="dcterms:W3CDTF">2019-03-18T17:30:00Z</dcterms:modified>
</cp:coreProperties>
</file>