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FE" w:rsidRPr="00DE7DFE" w:rsidRDefault="00DE7DFE" w:rsidP="00DE7DFE">
      <w:pPr>
        <w:spacing w:before="100" w:beforeAutospacing="1" w:after="100" w:afterAutospacing="1" w:line="240" w:lineRule="auto"/>
        <w:ind w:left="59" w:right="59" w:firstLine="566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7D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журнал «Экономика и предпринимательство»</w:t>
      </w:r>
    </w:p>
    <w:p w:rsidR="00DE7DFE" w:rsidRPr="00DE7DFE" w:rsidRDefault="00DE7DFE" w:rsidP="00DE7DFE">
      <w:pPr>
        <w:spacing w:before="100" w:beforeAutospacing="1" w:after="100" w:afterAutospacing="1" w:line="240" w:lineRule="auto"/>
        <w:ind w:left="59" w:right="59" w:firstLine="566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7D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Авторская анкета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4251"/>
        <w:gridCol w:w="2837"/>
      </w:tblGrid>
      <w:tr w:rsidR="00DE7DFE" w:rsidRPr="00DE7DFE" w:rsidTr="00DE7DFE">
        <w:tc>
          <w:tcPr>
            <w:tcW w:w="9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авторе и публикации</w:t>
            </w:r>
          </w:p>
        </w:tc>
      </w:tr>
      <w:tr w:rsidR="00DE7DFE" w:rsidRPr="00DE7DFE" w:rsidTr="00DE7DFE"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русском языке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английском языке</w:t>
            </w:r>
          </w:p>
        </w:tc>
      </w:tr>
      <w:tr w:rsidR="00DE7DFE" w:rsidRPr="00DE7DFE" w:rsidTr="00DE7DFE"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Бунич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692E27" w:rsidRDefault="00692E27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Bunich</w:t>
            </w:r>
            <w:proofErr w:type="spellEnd"/>
          </w:p>
        </w:tc>
      </w:tr>
      <w:tr w:rsidR="00DE7DFE" w:rsidRPr="00DE7DFE" w:rsidTr="00DE7DFE"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692E27" w:rsidRDefault="00692E27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Galina</w:t>
            </w:r>
          </w:p>
        </w:tc>
      </w:tr>
      <w:tr w:rsidR="00DE7DFE" w:rsidRPr="00DE7DFE" w:rsidTr="00DE7DFE"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692E27" w:rsidRDefault="00692E27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Alexeevna</w:t>
            </w:r>
            <w:proofErr w:type="spellEnd"/>
          </w:p>
        </w:tc>
      </w:tr>
      <w:tr w:rsidR="00DE7DFE" w:rsidRPr="00DE7DFE" w:rsidTr="00DE7DFE"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Доктор </w:t>
            </w: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экономических наук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692E27" w:rsidP="00DE7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FA6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Doctor of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economics</w:t>
            </w:r>
          </w:p>
        </w:tc>
      </w:tr>
      <w:tr w:rsidR="00DE7DFE" w:rsidRPr="00DE7DFE" w:rsidTr="00DE7DFE"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692E27" w:rsidRDefault="00692E27" w:rsidP="00DE7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Professor</w:t>
            </w:r>
          </w:p>
        </w:tc>
      </w:tr>
      <w:tr w:rsidR="00DE7DFE" w:rsidRPr="00692E27" w:rsidTr="00DE7DFE">
        <w:trPr>
          <w:trHeight w:val="854"/>
        </w:trPr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Финансово-технологическая академия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692E27" w:rsidRDefault="00692E27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2E27">
              <w:rPr>
                <w:rFonts w:ascii="Times New Roman" w:hAnsi="Times New Roman" w:cs="Times New Roman"/>
                <w:color w:val="444446"/>
                <w:sz w:val="20"/>
                <w:szCs w:val="20"/>
                <w:lang w:val="en-US"/>
              </w:rPr>
              <w:t>The Finance and Technology Academy</w:t>
            </w:r>
          </w:p>
        </w:tc>
      </w:tr>
      <w:tr w:rsidR="00DE7DFE" w:rsidRPr="00692E27" w:rsidTr="00DE7DFE"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692E27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E7DFE"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 кафедры финансов и экономического анализа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692E27" w:rsidP="00DE7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2E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Professor of the Department of Finance and Economic Analysis</w:t>
            </w:r>
          </w:p>
        </w:tc>
      </w:tr>
      <w:tr w:rsidR="00DE7DFE" w:rsidRPr="00DE7DFE" w:rsidTr="00DE7DFE"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рабочий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Не заполнять</w:t>
            </w:r>
          </w:p>
        </w:tc>
      </w:tr>
      <w:tr w:rsidR="00DE7DFE" w:rsidRPr="00DE7DFE" w:rsidTr="00DE7DFE"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домашний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474-38-06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Не заполнять</w:t>
            </w:r>
          </w:p>
        </w:tc>
      </w:tr>
      <w:tr w:rsidR="00DE7DFE" w:rsidRPr="00DE7DFE" w:rsidTr="00DE7DFE"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сотовый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925 05 288 76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Не заполнять</w:t>
            </w:r>
          </w:p>
        </w:tc>
      </w:tr>
      <w:tr w:rsidR="00DE7DFE" w:rsidRPr="00DE7DFE" w:rsidTr="00DE7DFE"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работы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Не заполнять</w:t>
            </w:r>
          </w:p>
        </w:tc>
      </w:tr>
      <w:tr w:rsidR="00DE7DFE" w:rsidRPr="00DE7DFE" w:rsidTr="00DE7DFE"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домашний (для отправки журнала) с ИНДЕКСОМ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129336, г. Москва, ул. Малыгина, дом 10, </w:t>
            </w:r>
            <w:proofErr w:type="spellStart"/>
            <w:r w:rsidRPr="00DE7D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</w:t>
            </w:r>
            <w:proofErr w:type="spellEnd"/>
            <w:r w:rsidRPr="00DE7D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2, кв. 153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Не заполнять</w:t>
            </w:r>
          </w:p>
        </w:tc>
      </w:tr>
      <w:tr w:rsidR="00DE7DFE" w:rsidRPr="00DE7DFE" w:rsidTr="00DE7DFE"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соискательства</w:t>
            </w:r>
          </w:p>
          <w:p w:rsidR="00DE7DFE" w:rsidRPr="00DE7DFE" w:rsidRDefault="00DE7DFE" w:rsidP="00DE7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</w:t>
            </w:r>
            <w:proofErr w:type="gramStart"/>
            <w:r w:rsidRPr="00DE7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только</w:t>
            </w:r>
            <w:proofErr w:type="gramEnd"/>
            <w:r w:rsidRPr="00DE7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при подготовке диссертации в качестве соискателя)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Не заполнять</w:t>
            </w:r>
          </w:p>
        </w:tc>
      </w:tr>
      <w:tr w:rsidR="00DE7DFE" w:rsidRPr="00DE7DFE" w:rsidTr="00DE7DFE"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Bunich-ga@yandex.ru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Не заполнять</w:t>
            </w:r>
          </w:p>
        </w:tc>
      </w:tr>
      <w:tr w:rsidR="00DE7DFE" w:rsidRPr="00692E27" w:rsidTr="00DE7DFE"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DFE">
              <w:rPr>
                <w:rFonts w:ascii="Times New Roman" w:hAnsi="Times New Roman" w:cs="Times New Roman"/>
                <w:sz w:val="20"/>
                <w:szCs w:val="20"/>
              </w:rPr>
              <w:t>Тенденции развития франчайзинга</w:t>
            </w:r>
          </w:p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E27" w:rsidRPr="00692E27" w:rsidRDefault="00692E27" w:rsidP="00692E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Trends in the development of franchising</w:t>
            </w:r>
          </w:p>
          <w:p w:rsidR="00DE7DFE" w:rsidRPr="00DE7DFE" w:rsidRDefault="00DE7DFE" w:rsidP="00DE7DFE">
            <w:pPr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E7DFE" w:rsidRPr="00692E27" w:rsidTr="00DE7DFE"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Аннотация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DFE">
              <w:rPr>
                <w:rFonts w:ascii="Times New Roman" w:hAnsi="Times New Roman" w:cs="Times New Roman"/>
                <w:sz w:val="20"/>
                <w:szCs w:val="20"/>
              </w:rPr>
              <w:t xml:space="preserve">Возникший на рубеже 19 – 20 веков, </w:t>
            </w:r>
            <w:proofErr w:type="spellStart"/>
            <w:r w:rsidRPr="00DE7DFE">
              <w:rPr>
                <w:rFonts w:ascii="Times New Roman" w:hAnsi="Times New Roman" w:cs="Times New Roman"/>
                <w:sz w:val="20"/>
                <w:szCs w:val="20"/>
              </w:rPr>
              <w:t>фрначайзинг</w:t>
            </w:r>
            <w:proofErr w:type="spellEnd"/>
            <w:r w:rsidRPr="00DE7DFE">
              <w:rPr>
                <w:rFonts w:ascii="Times New Roman" w:hAnsi="Times New Roman" w:cs="Times New Roman"/>
                <w:sz w:val="20"/>
                <w:szCs w:val="20"/>
              </w:rPr>
              <w:t xml:space="preserve"> как финансовый инструмент управления бизнеса внедрился в экономику России в конце 20 века.</w:t>
            </w:r>
          </w:p>
          <w:p w:rsidR="00DE7DFE" w:rsidRPr="00DE7DFE" w:rsidRDefault="00DE7DFE" w:rsidP="00DE7DFE">
            <w:pPr>
              <w:widowControl w:val="0"/>
              <w:spacing w:after="0" w:line="312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DFE">
              <w:rPr>
                <w:rFonts w:ascii="Times New Roman" w:hAnsi="Times New Roman" w:cs="Times New Roman"/>
                <w:sz w:val="20"/>
                <w:szCs w:val="20"/>
              </w:rPr>
              <w:t>Франчайзинг сегодня представляет собой способ организации бизнеса, при котором компания-правообладатель передает в аренду другим компаниям свои нематериальные активы для использования в хозяйственной деятельности.</w:t>
            </w:r>
          </w:p>
          <w:p w:rsidR="00DE7DFE" w:rsidRPr="00DE7DFE" w:rsidRDefault="00DE7DFE" w:rsidP="00DE7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DFE">
              <w:rPr>
                <w:rFonts w:ascii="Times New Roman" w:hAnsi="Times New Roman" w:cs="Times New Roman"/>
                <w:sz w:val="20"/>
                <w:szCs w:val="20"/>
              </w:rPr>
              <w:t xml:space="preserve">         Россия за последние годы стала одним из мировых лидеров по темпам роста франчайзинга.</w:t>
            </w:r>
          </w:p>
          <w:p w:rsidR="00DE7DFE" w:rsidRPr="00DE7DFE" w:rsidRDefault="00DE7DFE" w:rsidP="00DE7DFE">
            <w:pPr>
              <w:widowControl w:val="0"/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DF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Франчайзинг сегодня используется более, чем в 70 отраслях экономики.</w:t>
            </w:r>
          </w:p>
          <w:p w:rsidR="00DE7DFE" w:rsidRPr="00DE7DFE" w:rsidRDefault="00DE7DFE" w:rsidP="00DE7DFE">
            <w:pPr>
              <w:widowControl w:val="0"/>
              <w:spacing w:after="0" w:line="312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DF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Проведенный анализ свидетельствует о плюсах и минусах франчайзинга как бизнес-механизма. Однако, как свидетельствуют данные международной статистики, процесс развития франчайзинга высоко динамичен. Развитие </w:t>
            </w:r>
            <w:r w:rsidRPr="00DE7D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современных видов и инструментов бизнеса в условиях экономической глобализации, является объективным процессом.</w:t>
            </w:r>
          </w:p>
          <w:p w:rsidR="00DE7DFE" w:rsidRPr="00DE7DFE" w:rsidRDefault="00DE7DFE" w:rsidP="00DE7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2E27" w:rsidRPr="00692E27" w:rsidRDefault="00692E27" w:rsidP="00692E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Appeared on the turn of the 19th - 20th centuries, as a financial </w:t>
            </w:r>
            <w:proofErr w:type="gramStart"/>
            <w:r w:rsidRPr="0069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instrument </w:t>
            </w:r>
            <w:proofErr w:type="spellStart"/>
            <w:r w:rsidRPr="0069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frnachayzing</w:t>
            </w:r>
            <w:proofErr w:type="spellEnd"/>
            <w:r w:rsidRPr="0069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business management</w:t>
            </w:r>
            <w:proofErr w:type="gramEnd"/>
            <w:r w:rsidRPr="0069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infiltrated the Russian economy in the late 20th century.</w:t>
            </w:r>
          </w:p>
          <w:p w:rsidR="00692E27" w:rsidRPr="00692E27" w:rsidRDefault="00692E27" w:rsidP="00692E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Franchising today is a method of business organization in which company - holder transfers to other companies rent their intangible assets for use in economic activities.</w:t>
            </w:r>
          </w:p>
          <w:p w:rsidR="00692E27" w:rsidRPr="00692E27" w:rsidRDefault="00692E27" w:rsidP="00692E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      Russia in recent years has become one of the world leaders in terms of growth of franchising.</w:t>
            </w:r>
          </w:p>
          <w:p w:rsidR="00692E27" w:rsidRPr="00692E27" w:rsidRDefault="00692E27" w:rsidP="00692E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      Franchising </w:t>
            </w:r>
            <w:proofErr w:type="gramStart"/>
            <w:r w:rsidRPr="0069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now used</w:t>
            </w:r>
            <w:proofErr w:type="gramEnd"/>
            <w:r w:rsidRPr="0069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more than 70 industries.</w:t>
            </w:r>
          </w:p>
          <w:p w:rsidR="00692E27" w:rsidRPr="00692E27" w:rsidRDefault="00692E27" w:rsidP="00692E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analysis shows the pros and cons of franchising as a business mechanism. However, as evidenced by the international </w:t>
            </w:r>
            <w:r w:rsidRPr="0069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statistics, the development of franchising is highly dynamic. Species and the development of modern business tools in the context of economic globalization is an objective process.</w:t>
            </w:r>
          </w:p>
          <w:p w:rsidR="00DE7DFE" w:rsidRPr="00692E27" w:rsidRDefault="00DE7DFE" w:rsidP="00692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E7DFE" w:rsidRPr="00692E27" w:rsidTr="00DE7DFE"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Ключевые слова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DE7DFE" w:rsidRDefault="00DE7DFE" w:rsidP="00DE7D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E7DFE">
              <w:rPr>
                <w:rFonts w:ascii="Times New Roman" w:hAnsi="Times New Roman" w:cs="Times New Roman"/>
                <w:sz w:val="20"/>
                <w:szCs w:val="20"/>
              </w:rPr>
              <w:t>франчайзинг</w:t>
            </w:r>
            <w:proofErr w:type="gramEnd"/>
            <w:r w:rsidRPr="00DE7D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E7DFE">
              <w:rPr>
                <w:rFonts w:ascii="Times New Roman" w:hAnsi="Times New Roman" w:cs="Times New Roman"/>
                <w:sz w:val="20"/>
                <w:szCs w:val="20"/>
              </w:rPr>
              <w:t>франчайзер</w:t>
            </w:r>
            <w:proofErr w:type="spellEnd"/>
            <w:r w:rsidRPr="00DE7DFE">
              <w:rPr>
                <w:rFonts w:ascii="Times New Roman" w:hAnsi="Times New Roman" w:cs="Times New Roman"/>
                <w:sz w:val="20"/>
                <w:szCs w:val="20"/>
              </w:rPr>
              <w:t xml:space="preserve">, франшиза, </w:t>
            </w:r>
            <w:proofErr w:type="spellStart"/>
            <w:r w:rsidRPr="00DE7DFE">
              <w:rPr>
                <w:rFonts w:ascii="Times New Roman" w:hAnsi="Times New Roman" w:cs="Times New Roman"/>
                <w:sz w:val="20"/>
                <w:szCs w:val="20"/>
              </w:rPr>
              <w:t>франчайзи</w:t>
            </w:r>
            <w:proofErr w:type="spellEnd"/>
            <w:r w:rsidRPr="00DE7DFE">
              <w:rPr>
                <w:rFonts w:ascii="Times New Roman" w:hAnsi="Times New Roman" w:cs="Times New Roman"/>
                <w:sz w:val="20"/>
                <w:szCs w:val="20"/>
              </w:rPr>
              <w:t>, бренд, торговая марка, сеть.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7DFE" w:rsidRPr="00692E27" w:rsidRDefault="00692E27" w:rsidP="00692E2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69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franchising</w:t>
            </w:r>
            <w:proofErr w:type="gramEnd"/>
            <w:r w:rsidRPr="0069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the franchisor, franchise, franchisee, brand, trademark, network.</w:t>
            </w:r>
          </w:p>
        </w:tc>
      </w:tr>
    </w:tbl>
    <w:p w:rsidR="00DE7DFE" w:rsidRPr="00692E27" w:rsidRDefault="00DE7DF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F32A4" w:rsidRDefault="00B81E58">
      <w:pPr>
        <w:rPr>
          <w:rFonts w:ascii="Times New Roman" w:hAnsi="Times New Roman" w:cs="Times New Roman"/>
          <w:b/>
          <w:sz w:val="28"/>
          <w:szCs w:val="28"/>
        </w:rPr>
      </w:pPr>
      <w:r w:rsidRPr="00B81E58">
        <w:rPr>
          <w:rFonts w:ascii="Times New Roman" w:hAnsi="Times New Roman" w:cs="Times New Roman"/>
          <w:b/>
          <w:sz w:val="28"/>
          <w:szCs w:val="28"/>
        </w:rPr>
        <w:t>Бунич</w:t>
      </w:r>
      <w:r>
        <w:rPr>
          <w:rFonts w:ascii="Times New Roman" w:hAnsi="Times New Roman" w:cs="Times New Roman"/>
          <w:b/>
          <w:sz w:val="28"/>
          <w:szCs w:val="28"/>
        </w:rPr>
        <w:t xml:space="preserve"> Г.А.</w:t>
      </w:r>
    </w:p>
    <w:p w:rsidR="0043491C" w:rsidRPr="007345E7" w:rsidRDefault="004349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45E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345E7">
        <w:rPr>
          <w:rFonts w:ascii="Times New Roman" w:hAnsi="Times New Roman" w:cs="Times New Roman"/>
          <w:sz w:val="28"/>
          <w:szCs w:val="28"/>
        </w:rPr>
        <w:t xml:space="preserve">-р </w:t>
      </w:r>
      <w:proofErr w:type="spellStart"/>
      <w:r w:rsidRPr="007345E7">
        <w:rPr>
          <w:rFonts w:ascii="Times New Roman" w:hAnsi="Times New Roman" w:cs="Times New Roman"/>
          <w:sz w:val="28"/>
          <w:szCs w:val="28"/>
        </w:rPr>
        <w:t>экон.наук</w:t>
      </w:r>
      <w:proofErr w:type="spellEnd"/>
      <w:r w:rsidRPr="007345E7">
        <w:rPr>
          <w:rFonts w:ascii="Times New Roman" w:hAnsi="Times New Roman" w:cs="Times New Roman"/>
          <w:sz w:val="28"/>
          <w:szCs w:val="28"/>
        </w:rPr>
        <w:t>, проф. кафедры финансов и экономического анализа Финансово-технологической ак</w:t>
      </w:r>
      <w:bookmarkStart w:id="0" w:name="_GoBack"/>
      <w:bookmarkEnd w:id="0"/>
      <w:r w:rsidRPr="007345E7">
        <w:rPr>
          <w:rFonts w:ascii="Times New Roman" w:hAnsi="Times New Roman" w:cs="Times New Roman"/>
          <w:sz w:val="28"/>
          <w:szCs w:val="28"/>
        </w:rPr>
        <w:t>адемии</w:t>
      </w:r>
    </w:p>
    <w:p w:rsidR="00B81E58" w:rsidRDefault="00F201C3" w:rsidP="00F20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Тенденции развития франчайзинга</w:t>
      </w:r>
    </w:p>
    <w:p w:rsidR="00E56D2B" w:rsidRDefault="00A25284" w:rsidP="00A252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25284" w:rsidRDefault="00E56D2B" w:rsidP="00A25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25284">
        <w:rPr>
          <w:rFonts w:ascii="Times New Roman" w:hAnsi="Times New Roman" w:cs="Times New Roman"/>
          <w:sz w:val="28"/>
          <w:szCs w:val="28"/>
        </w:rPr>
        <w:t xml:space="preserve"> Возникший на рубеже 19 – 20 веков, </w:t>
      </w:r>
      <w:proofErr w:type="spellStart"/>
      <w:r w:rsidR="00A25284">
        <w:rPr>
          <w:rFonts w:ascii="Times New Roman" w:hAnsi="Times New Roman" w:cs="Times New Roman"/>
          <w:sz w:val="28"/>
          <w:szCs w:val="28"/>
        </w:rPr>
        <w:t>фрначайзинг</w:t>
      </w:r>
      <w:proofErr w:type="spellEnd"/>
      <w:r w:rsidR="00A25284">
        <w:rPr>
          <w:rFonts w:ascii="Times New Roman" w:hAnsi="Times New Roman" w:cs="Times New Roman"/>
          <w:sz w:val="28"/>
          <w:szCs w:val="28"/>
        </w:rPr>
        <w:t xml:space="preserve"> как финансовый инструмент управления бизнеса внедрился в экономику России в конце 20 века.</w:t>
      </w:r>
    </w:p>
    <w:p w:rsidR="00A25284" w:rsidRPr="00666EAA" w:rsidRDefault="00A25284" w:rsidP="00A2528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Франчайзинг сегодня</w:t>
      </w:r>
      <w:r w:rsidRPr="009E7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Pr="00666EAA">
        <w:rPr>
          <w:rFonts w:ascii="Times New Roman" w:hAnsi="Times New Roman" w:cs="Times New Roman"/>
          <w:sz w:val="28"/>
          <w:szCs w:val="28"/>
        </w:rPr>
        <w:t xml:space="preserve">способ организации бизнеса, при котором компания-правообладатель передает в аренду </w:t>
      </w:r>
      <w:r>
        <w:rPr>
          <w:rFonts w:ascii="Times New Roman" w:hAnsi="Times New Roman" w:cs="Times New Roman"/>
          <w:sz w:val="28"/>
          <w:szCs w:val="28"/>
        </w:rPr>
        <w:t xml:space="preserve">другим компаниям </w:t>
      </w:r>
      <w:r w:rsidRPr="00666EAA">
        <w:rPr>
          <w:rFonts w:ascii="Times New Roman" w:hAnsi="Times New Roman" w:cs="Times New Roman"/>
          <w:sz w:val="28"/>
          <w:szCs w:val="28"/>
        </w:rPr>
        <w:t>свои нематериальные активы</w:t>
      </w:r>
      <w:r>
        <w:rPr>
          <w:rFonts w:ascii="Times New Roman" w:hAnsi="Times New Roman" w:cs="Times New Roman"/>
          <w:sz w:val="28"/>
          <w:szCs w:val="28"/>
        </w:rPr>
        <w:t xml:space="preserve"> для использования в хозяйственной деятельности</w:t>
      </w:r>
      <w:r w:rsidRPr="00666EAA">
        <w:rPr>
          <w:rFonts w:ascii="Times New Roman" w:hAnsi="Times New Roman" w:cs="Times New Roman"/>
          <w:sz w:val="28"/>
          <w:szCs w:val="28"/>
        </w:rPr>
        <w:t>.</w:t>
      </w:r>
    </w:p>
    <w:p w:rsidR="00A25284" w:rsidRDefault="00A25284" w:rsidP="00A25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6EAA">
        <w:rPr>
          <w:rFonts w:ascii="Times New Roman" w:hAnsi="Times New Roman" w:cs="Times New Roman"/>
          <w:sz w:val="28"/>
          <w:szCs w:val="28"/>
        </w:rPr>
        <w:t xml:space="preserve">Россия за последние годы стала одним из мировых лидеров </w:t>
      </w:r>
      <w:r>
        <w:rPr>
          <w:rFonts w:ascii="Times New Roman" w:hAnsi="Times New Roman" w:cs="Times New Roman"/>
          <w:sz w:val="28"/>
          <w:szCs w:val="28"/>
        </w:rPr>
        <w:t>по темпам</w:t>
      </w:r>
      <w:r w:rsidRPr="00666EAA">
        <w:rPr>
          <w:rFonts w:ascii="Times New Roman" w:hAnsi="Times New Roman" w:cs="Times New Roman"/>
          <w:sz w:val="28"/>
          <w:szCs w:val="28"/>
        </w:rPr>
        <w:t xml:space="preserve"> роста франчайзинга.</w:t>
      </w:r>
    </w:p>
    <w:p w:rsidR="00975AFE" w:rsidRPr="00666EAA" w:rsidRDefault="00975AFE" w:rsidP="00975AFE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Франчайзинг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отраслях экономики.</w:t>
      </w:r>
    </w:p>
    <w:p w:rsidR="00BE5171" w:rsidRPr="00666EAA" w:rsidRDefault="00BE5171" w:rsidP="00BE5171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свидетельствует о плюсах и минусах франчайзинга как бизнес-механизма. Однако, как свидетельствуют данные международной статистики, процесс развития франчайзинга высоко динамичен. Развитие современных видов и инструментов бизнеса в условиях экономической глобализации, является объективным процессом.</w:t>
      </w:r>
    </w:p>
    <w:p w:rsidR="00A25284" w:rsidRPr="00A25284" w:rsidRDefault="00A25284" w:rsidP="00A252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284" w:rsidRDefault="00A25284" w:rsidP="00A25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 xml:space="preserve">франчайзинг,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франчайзер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франшиза,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франчайзи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бренд, торговая марка, сеть.</w:t>
      </w:r>
    </w:p>
    <w:p w:rsidR="00077606" w:rsidRPr="00692E27" w:rsidRDefault="00077606" w:rsidP="00692E2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2E27">
        <w:rPr>
          <w:rFonts w:ascii="Times New Roman" w:hAnsi="Times New Roman" w:cs="Times New Roman"/>
          <w:b/>
          <w:sz w:val="28"/>
          <w:szCs w:val="28"/>
          <w:lang w:val="en-US"/>
        </w:rPr>
        <w:t>Trends in the development of franchising</w:t>
      </w:r>
    </w:p>
    <w:p w:rsidR="00077606" w:rsidRPr="000865E4" w:rsidRDefault="00077606" w:rsidP="0007760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65E4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:rsidR="00077606" w:rsidRPr="00077606" w:rsidRDefault="00077606" w:rsidP="000776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760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      Appeared on the turn of the 19th - 20th centuries, as a financial </w:t>
      </w:r>
      <w:proofErr w:type="gramStart"/>
      <w:r w:rsidRPr="00077606">
        <w:rPr>
          <w:rFonts w:ascii="Times New Roman" w:hAnsi="Times New Roman" w:cs="Times New Roman"/>
          <w:sz w:val="28"/>
          <w:szCs w:val="28"/>
          <w:lang w:val="en-US"/>
        </w:rPr>
        <w:t xml:space="preserve">instrument </w:t>
      </w:r>
      <w:proofErr w:type="spellStart"/>
      <w:r w:rsidRPr="00077606">
        <w:rPr>
          <w:rFonts w:ascii="Times New Roman" w:hAnsi="Times New Roman" w:cs="Times New Roman"/>
          <w:sz w:val="28"/>
          <w:szCs w:val="28"/>
          <w:lang w:val="en-US"/>
        </w:rPr>
        <w:t>frnachayzing</w:t>
      </w:r>
      <w:proofErr w:type="spellEnd"/>
      <w:r w:rsidRPr="00077606">
        <w:rPr>
          <w:rFonts w:ascii="Times New Roman" w:hAnsi="Times New Roman" w:cs="Times New Roman"/>
          <w:sz w:val="28"/>
          <w:szCs w:val="28"/>
          <w:lang w:val="en-US"/>
        </w:rPr>
        <w:t xml:space="preserve"> business management</w:t>
      </w:r>
      <w:proofErr w:type="gramEnd"/>
      <w:r w:rsidRPr="00077606">
        <w:rPr>
          <w:rFonts w:ascii="Times New Roman" w:hAnsi="Times New Roman" w:cs="Times New Roman"/>
          <w:sz w:val="28"/>
          <w:szCs w:val="28"/>
          <w:lang w:val="en-US"/>
        </w:rPr>
        <w:t xml:space="preserve"> infiltrated the Russian economy in the late 20th century.</w:t>
      </w:r>
    </w:p>
    <w:p w:rsidR="00077606" w:rsidRPr="00077606" w:rsidRDefault="00077606" w:rsidP="000776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7606">
        <w:rPr>
          <w:rFonts w:ascii="Times New Roman" w:hAnsi="Times New Roman" w:cs="Times New Roman"/>
          <w:sz w:val="28"/>
          <w:szCs w:val="28"/>
          <w:lang w:val="en-US"/>
        </w:rPr>
        <w:t>Franchising today is a method of business organization in which company - holder transfers to other companies rent their intangible assets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use in economic activities</w:t>
      </w:r>
      <w:r w:rsidRPr="0007760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7606" w:rsidRPr="00077606" w:rsidRDefault="00077606" w:rsidP="000776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7606">
        <w:rPr>
          <w:rFonts w:ascii="Times New Roman" w:hAnsi="Times New Roman" w:cs="Times New Roman"/>
          <w:sz w:val="28"/>
          <w:szCs w:val="28"/>
          <w:lang w:val="en-US"/>
        </w:rPr>
        <w:t>         Russia in recent years has become one of the world leaders in terms of growth of franchising.</w:t>
      </w:r>
    </w:p>
    <w:p w:rsidR="00077606" w:rsidRPr="00077606" w:rsidRDefault="00077606" w:rsidP="000776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7606">
        <w:rPr>
          <w:rFonts w:ascii="Times New Roman" w:hAnsi="Times New Roman" w:cs="Times New Roman"/>
          <w:sz w:val="28"/>
          <w:szCs w:val="28"/>
          <w:lang w:val="en-US"/>
        </w:rPr>
        <w:t xml:space="preserve">      Franchising </w:t>
      </w:r>
      <w:proofErr w:type="gramStart"/>
      <w:r w:rsidRPr="00077606">
        <w:rPr>
          <w:rFonts w:ascii="Times New Roman" w:hAnsi="Times New Roman" w:cs="Times New Roman"/>
          <w:sz w:val="28"/>
          <w:szCs w:val="28"/>
          <w:lang w:val="en-US"/>
        </w:rPr>
        <w:t>is now used</w:t>
      </w:r>
      <w:proofErr w:type="gramEnd"/>
      <w:r w:rsidRPr="00077606">
        <w:rPr>
          <w:rFonts w:ascii="Times New Roman" w:hAnsi="Times New Roman" w:cs="Times New Roman"/>
          <w:sz w:val="28"/>
          <w:szCs w:val="28"/>
          <w:lang w:val="en-US"/>
        </w:rPr>
        <w:t xml:space="preserve"> in more than 70 industries.</w:t>
      </w:r>
    </w:p>
    <w:p w:rsidR="00077606" w:rsidRPr="00077606" w:rsidRDefault="00077606" w:rsidP="000776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7606">
        <w:rPr>
          <w:rFonts w:ascii="Times New Roman" w:hAnsi="Times New Roman" w:cs="Times New Roman"/>
          <w:sz w:val="28"/>
          <w:szCs w:val="28"/>
          <w:lang w:val="en-US"/>
        </w:rPr>
        <w:t>The analysis shows the pros and cons of franchising a</w:t>
      </w:r>
      <w:r>
        <w:rPr>
          <w:rFonts w:ascii="Times New Roman" w:hAnsi="Times New Roman" w:cs="Times New Roman"/>
          <w:sz w:val="28"/>
          <w:szCs w:val="28"/>
          <w:lang w:val="en-US"/>
        </w:rPr>
        <w:t>s a business mechanism. However</w:t>
      </w:r>
      <w:r w:rsidRPr="00077606">
        <w:rPr>
          <w:rFonts w:ascii="Times New Roman" w:hAnsi="Times New Roman" w:cs="Times New Roman"/>
          <w:sz w:val="28"/>
          <w:szCs w:val="28"/>
          <w:lang w:val="en-US"/>
        </w:rPr>
        <w:t>, as evidenced by the international statistics, the development of franchising is highly dynamic. Species and the development of modern business tools in the context of economic global</w:t>
      </w:r>
      <w:r>
        <w:rPr>
          <w:rFonts w:ascii="Times New Roman" w:hAnsi="Times New Roman" w:cs="Times New Roman"/>
          <w:sz w:val="28"/>
          <w:szCs w:val="28"/>
          <w:lang w:val="en-US"/>
        </w:rPr>
        <w:t>ization is an objective process</w:t>
      </w:r>
      <w:r w:rsidRPr="0007760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7606" w:rsidRPr="00077606" w:rsidRDefault="00077606" w:rsidP="000776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7606" w:rsidRPr="00077606" w:rsidRDefault="00077606" w:rsidP="000776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65E4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franchising, the franchisor, franchise, franchisee, brand,</w:t>
      </w:r>
      <w:r w:rsidRPr="000776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trademark</w:t>
      </w:r>
      <w:r w:rsidRPr="00077606">
        <w:rPr>
          <w:rFonts w:ascii="Times New Roman" w:hAnsi="Times New Roman" w:cs="Times New Roman"/>
          <w:sz w:val="28"/>
          <w:szCs w:val="28"/>
          <w:lang w:val="en-US"/>
        </w:rPr>
        <w:t>, network.</w:t>
      </w:r>
    </w:p>
    <w:p w:rsidR="00077606" w:rsidRPr="00077606" w:rsidRDefault="00077606" w:rsidP="00E06C3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81E58" w:rsidRPr="00490A59" w:rsidRDefault="00B81E58" w:rsidP="00E06C3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</w:t>
      </w:r>
      <w:proofErr w:type="spellStart"/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франчайзига</w:t>
      </w:r>
      <w:proofErr w:type="spellEnd"/>
      <w:r w:rsidR="00E0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 к началу</w:t>
      </w:r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XIX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</w:t>
      </w:r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>В 1860 г. </w:t>
      </w:r>
      <w:r w:rsidR="00E06C3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Зингер, производитель </w:t>
      </w:r>
      <w:proofErr w:type="gramStart"/>
      <w:r w:rsidR="00E06C33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швейных  машин</w:t>
      </w:r>
      <w:proofErr w:type="gramEnd"/>
      <w:r w:rsidR="00E06C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E0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создал систему </w:t>
      </w:r>
      <w:proofErr w:type="spellStart"/>
      <w:r w:rsidR="00E06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сирийного</w:t>
      </w:r>
      <w:proofErr w:type="spellEnd"/>
      <w:r w:rsidR="00E0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с использованием франчайзинга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независимым фирмам стали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редоставляться  права на  продажу  и  ремонт швейных машин . </w:t>
      </w:r>
    </w:p>
    <w:p w:rsidR="00B81E58" w:rsidRPr="00490A59" w:rsidRDefault="00E06C33" w:rsidP="00B81E5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Зарождение франчайзинга</w:t>
      </w:r>
      <w:r w:rsidR="00B81E58"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США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XIX - начале XX вв. было вызвано</w:t>
      </w:r>
      <w:r w:rsidR="00B81E58"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нехваткой дистрибьюторских каналов. </w:t>
      </w:r>
      <w:r w:rsidR="009E7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 компании</w:t>
      </w:r>
      <w:r w:rsidR="00B81E58"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получали эксклюзивные права </w:t>
      </w:r>
      <w:r w:rsidR="009E7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продажу продукции</w:t>
      </w:r>
      <w:r w:rsidR="00B81E58"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81E58"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франчайзера</w:t>
      </w:r>
      <w:proofErr w:type="spellEnd"/>
      <w:r w:rsidR="0026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7A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E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</w:t>
      </w:r>
      <w:r w:rsidR="00B81E58"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его торговой маркой</w:t>
      </w:r>
      <w:r w:rsidR="009E7A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</w:t>
      </w:r>
      <w:r w:rsidR="00B81E58"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1950-х гг. </w:t>
      </w:r>
      <w:r w:rsidR="009E7A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 корпорации</w:t>
      </w:r>
      <w:r w:rsidR="00B81E58"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</w:t>
      </w:r>
      <w:r w:rsidR="009E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B81E58"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франчайзинг как эффективный ме</w:t>
      </w:r>
      <w:r w:rsidR="009E7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 реализации товаров и услуг</w:t>
      </w:r>
      <w:r w:rsidR="00B81E58"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1E58" w:rsidRDefault="00B81E58" w:rsidP="00B81E5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1950-е годы </w:t>
      </w:r>
      <w:r w:rsidR="009E7A9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франчайзинг находит новое применение</w:t>
      </w:r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«франшиза бизнес-формата»</w:t>
      </w:r>
      <w:r w:rsidR="009E7A9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передача</w:t>
      </w:r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товарного знака, но и технологии ведения бизнеса, </w:t>
      </w:r>
      <w:r w:rsidR="009E7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созданной и апробированной</w:t>
      </w:r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франчайз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proofErr w:type="spellEnd"/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7A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</w:t>
      </w:r>
      <w:r w:rsidR="009E7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этого является</w:t>
      </w:r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>McDonald’s</w:t>
      </w:r>
      <w:proofErr w:type="spellEnd"/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сеть</w:t>
      </w:r>
      <w:r w:rsidR="009E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7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котрого</w:t>
      </w:r>
      <w:proofErr w:type="spellEnd"/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насчитывает более 14 тыс. предприятий в</w:t>
      </w:r>
      <w:r w:rsidR="009E7A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многих</w:t>
      </w:r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станах мира. </w:t>
      </w:r>
    </w:p>
    <w:p w:rsidR="00B81E58" w:rsidRPr="00263AC4" w:rsidRDefault="00F418BB" w:rsidP="00263AC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>Предпосылки для франчайзинга были соз</w:t>
      </w:r>
      <w:r>
        <w:rPr>
          <w:rFonts w:ascii="Times New Roman" w:hAnsi="Times New Roman" w:cs="Times New Roman"/>
          <w:sz w:val="28"/>
          <w:szCs w:val="28"/>
        </w:rPr>
        <w:t>даны</w:t>
      </w:r>
      <w:r w:rsidRPr="00666EAA">
        <w:rPr>
          <w:rFonts w:ascii="Times New Roman" w:hAnsi="Times New Roman" w:cs="Times New Roman"/>
          <w:sz w:val="28"/>
          <w:szCs w:val="28"/>
        </w:rPr>
        <w:t xml:space="preserve"> в России </w:t>
      </w:r>
      <w:r>
        <w:rPr>
          <w:rFonts w:ascii="Times New Roman" w:hAnsi="Times New Roman" w:cs="Times New Roman"/>
          <w:sz w:val="28"/>
          <w:szCs w:val="28"/>
        </w:rPr>
        <w:t>еще в период СССР. С</w:t>
      </w:r>
      <w:r w:rsidRPr="00666EAA">
        <w:rPr>
          <w:rFonts w:ascii="Times New Roman" w:hAnsi="Times New Roman" w:cs="Times New Roman"/>
          <w:sz w:val="28"/>
          <w:szCs w:val="28"/>
        </w:rPr>
        <w:t xml:space="preserve"> 1972 года </w:t>
      </w:r>
      <w:r>
        <w:rPr>
          <w:rFonts w:ascii="Times New Roman" w:hAnsi="Times New Roman" w:cs="Times New Roman"/>
          <w:sz w:val="28"/>
          <w:szCs w:val="28"/>
        </w:rPr>
        <w:t>на российских предприятиях осуществлялся</w:t>
      </w:r>
      <w:r w:rsidRPr="00666EAA">
        <w:rPr>
          <w:rFonts w:ascii="Times New Roman" w:hAnsi="Times New Roman" w:cs="Times New Roman"/>
          <w:sz w:val="28"/>
          <w:szCs w:val="28"/>
        </w:rPr>
        <w:t xml:space="preserve"> выпуск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продукции </w:t>
      </w:r>
      <w:r w:rsidRPr="00666EAA">
        <w:rPr>
          <w:rFonts w:ascii="Times New Roman" w:hAnsi="Times New Roman" w:cs="Times New Roman"/>
          <w:sz w:val="28"/>
          <w:szCs w:val="28"/>
        </w:rPr>
        <w:t>«Пепси-Кола»</w:t>
      </w:r>
      <w:r>
        <w:rPr>
          <w:rFonts w:ascii="Times New Roman" w:hAnsi="Times New Roman" w:cs="Times New Roman"/>
          <w:sz w:val="28"/>
          <w:szCs w:val="28"/>
        </w:rPr>
        <w:t xml:space="preserve"> и «Фанта» на основании договоров</w:t>
      </w:r>
      <w:r w:rsidRPr="00666EAA">
        <w:rPr>
          <w:rFonts w:ascii="Times New Roman" w:hAnsi="Times New Roman" w:cs="Times New Roman"/>
          <w:sz w:val="28"/>
          <w:szCs w:val="28"/>
        </w:rPr>
        <w:t xml:space="preserve"> с компанией </w:t>
      </w:r>
      <w:proofErr w:type="spellStart"/>
      <w:proofErr w:type="gramStart"/>
      <w:r w:rsidRPr="00666EAA">
        <w:rPr>
          <w:rFonts w:ascii="Times New Roman" w:hAnsi="Times New Roman" w:cs="Times New Roman"/>
          <w:sz w:val="28"/>
          <w:szCs w:val="28"/>
        </w:rPr>
        <w:t>PepsiCo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EAA">
        <w:rPr>
          <w:rFonts w:ascii="Times New Roman" w:hAnsi="Times New Roman" w:cs="Times New Roman"/>
          <w:sz w:val="28"/>
          <w:szCs w:val="28"/>
        </w:rPr>
        <w:t xml:space="preserve">В 1995 году компания </w:t>
      </w:r>
      <w:proofErr w:type="spellStart"/>
      <w:r w:rsidRPr="00666EAA">
        <w:rPr>
          <w:rFonts w:ascii="Times New Roman" w:hAnsi="Times New Roman" w:cs="Times New Roman"/>
          <w:sz w:val="28"/>
          <w:szCs w:val="28"/>
        </w:rPr>
        <w:t>Coca-Cola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внедрилась в</w:t>
      </w:r>
      <w:r w:rsidRPr="00666EAA">
        <w:rPr>
          <w:rFonts w:ascii="Times New Roman" w:hAnsi="Times New Roman" w:cs="Times New Roman"/>
          <w:sz w:val="28"/>
          <w:szCs w:val="28"/>
        </w:rPr>
        <w:t xml:space="preserve"> российский рынок</w:t>
      </w:r>
      <w:r>
        <w:rPr>
          <w:rFonts w:ascii="Times New Roman" w:hAnsi="Times New Roman" w:cs="Times New Roman"/>
          <w:sz w:val="28"/>
          <w:szCs w:val="28"/>
        </w:rPr>
        <w:t xml:space="preserve"> и в настоящее время имеет</w:t>
      </w:r>
      <w:r w:rsidRPr="00666EAA">
        <w:rPr>
          <w:rFonts w:ascii="Times New Roman" w:hAnsi="Times New Roman" w:cs="Times New Roman"/>
          <w:sz w:val="28"/>
          <w:szCs w:val="28"/>
        </w:rPr>
        <w:t xml:space="preserve"> девять </w:t>
      </w:r>
      <w:proofErr w:type="spellStart"/>
      <w:r w:rsidRPr="00666EAA">
        <w:rPr>
          <w:rFonts w:ascii="Times New Roman" w:hAnsi="Times New Roman" w:cs="Times New Roman"/>
          <w:sz w:val="28"/>
          <w:szCs w:val="28"/>
        </w:rPr>
        <w:t>франшизных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заводов: в Москве, Санкт-Петербурге, Ростове, Владивостоке, Орле</w:t>
      </w:r>
      <w:r>
        <w:rPr>
          <w:rFonts w:ascii="Times New Roman" w:hAnsi="Times New Roman" w:cs="Times New Roman"/>
          <w:sz w:val="28"/>
          <w:szCs w:val="28"/>
        </w:rPr>
        <w:t>, Новосибирске и др</w:t>
      </w:r>
      <w:r w:rsidR="00263AC4">
        <w:rPr>
          <w:rFonts w:ascii="Times New Roman" w:hAnsi="Times New Roman" w:cs="Times New Roman"/>
          <w:sz w:val="28"/>
          <w:szCs w:val="28"/>
        </w:rPr>
        <w:t>угих городах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E58" w:rsidRPr="00666EAA" w:rsidRDefault="00263AC4" w:rsidP="009E7A93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Франчайзинг сегодня</w:t>
      </w:r>
      <w:r w:rsidR="00B81E58" w:rsidRPr="009E7A93">
        <w:rPr>
          <w:rFonts w:ascii="Times New Roman" w:hAnsi="Times New Roman" w:cs="Times New Roman"/>
          <w:sz w:val="28"/>
          <w:szCs w:val="28"/>
        </w:rPr>
        <w:t xml:space="preserve"> </w:t>
      </w:r>
      <w:r w:rsidR="009E7A93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B81E58" w:rsidRPr="00666EAA">
        <w:rPr>
          <w:rFonts w:ascii="Times New Roman" w:hAnsi="Times New Roman" w:cs="Times New Roman"/>
          <w:sz w:val="28"/>
          <w:szCs w:val="28"/>
        </w:rPr>
        <w:t xml:space="preserve">способ организации бизнеса, при котором компания-правообладатель передает в аренду </w:t>
      </w:r>
      <w:r w:rsidR="00B81E58">
        <w:rPr>
          <w:rFonts w:ascii="Times New Roman" w:hAnsi="Times New Roman" w:cs="Times New Roman"/>
          <w:sz w:val="28"/>
          <w:szCs w:val="28"/>
        </w:rPr>
        <w:t>друг</w:t>
      </w:r>
      <w:r w:rsidR="009E7A93">
        <w:rPr>
          <w:rFonts w:ascii="Times New Roman" w:hAnsi="Times New Roman" w:cs="Times New Roman"/>
          <w:sz w:val="28"/>
          <w:szCs w:val="28"/>
        </w:rPr>
        <w:t xml:space="preserve">им компаниям </w:t>
      </w:r>
      <w:r w:rsidR="00B81E58" w:rsidRPr="00666EAA">
        <w:rPr>
          <w:rFonts w:ascii="Times New Roman" w:hAnsi="Times New Roman" w:cs="Times New Roman"/>
          <w:sz w:val="28"/>
          <w:szCs w:val="28"/>
        </w:rPr>
        <w:t>свои нематериальные активы</w:t>
      </w:r>
      <w:r w:rsidR="009E7A93">
        <w:rPr>
          <w:rFonts w:ascii="Times New Roman" w:hAnsi="Times New Roman" w:cs="Times New Roman"/>
          <w:sz w:val="28"/>
          <w:szCs w:val="28"/>
        </w:rPr>
        <w:t xml:space="preserve"> для использования в хозяйственной деятельности</w:t>
      </w:r>
      <w:r w:rsidR="00B81E58" w:rsidRPr="00666EAA">
        <w:rPr>
          <w:rFonts w:ascii="Times New Roman" w:hAnsi="Times New Roman" w:cs="Times New Roman"/>
          <w:sz w:val="28"/>
          <w:szCs w:val="28"/>
        </w:rPr>
        <w:t>.</w:t>
      </w:r>
    </w:p>
    <w:p w:rsidR="00B81E58" w:rsidRPr="00666EAA" w:rsidRDefault="009E7A93" w:rsidP="00B81E58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выделяют</w:t>
      </w:r>
      <w:r w:rsidR="00B81E58" w:rsidRPr="00666EAA">
        <w:rPr>
          <w:rFonts w:ascii="Times New Roman" w:hAnsi="Times New Roman" w:cs="Times New Roman"/>
          <w:sz w:val="28"/>
          <w:szCs w:val="28"/>
        </w:rPr>
        <w:t xml:space="preserve"> три вида франчайзинга: производственный, товарный и сервисный. </w:t>
      </w:r>
    </w:p>
    <w:p w:rsidR="00B81E58" w:rsidRPr="00666EAA" w:rsidRDefault="00B81E58" w:rsidP="00B81E58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66E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Производственный франчайзинг </w:t>
      </w:r>
      <w:r w:rsidR="004468E7">
        <w:rPr>
          <w:rFonts w:ascii="Times New Roman" w:hAnsi="Times New Roman" w:cs="Times New Roman"/>
          <w:sz w:val="28"/>
          <w:szCs w:val="28"/>
        </w:rPr>
        <w:t xml:space="preserve">используется для изготовления </w:t>
      </w:r>
      <w:r w:rsidRPr="00666EAA">
        <w:rPr>
          <w:rFonts w:ascii="Times New Roman" w:hAnsi="Times New Roman" w:cs="Times New Roman"/>
          <w:sz w:val="28"/>
          <w:szCs w:val="28"/>
        </w:rPr>
        <w:t>товаров</w:t>
      </w:r>
      <w:r w:rsidR="004468E7">
        <w:rPr>
          <w:rFonts w:ascii="Times New Roman" w:hAnsi="Times New Roman" w:cs="Times New Roman"/>
          <w:sz w:val="28"/>
          <w:szCs w:val="28"/>
        </w:rPr>
        <w:t xml:space="preserve"> и услуг</w:t>
      </w:r>
      <w:r w:rsidRPr="00666EAA">
        <w:rPr>
          <w:rFonts w:ascii="Times New Roman" w:hAnsi="Times New Roman" w:cs="Times New Roman"/>
          <w:sz w:val="28"/>
          <w:szCs w:val="28"/>
        </w:rPr>
        <w:t xml:space="preserve">. Этот вид франчайзинга </w:t>
      </w:r>
      <w:r w:rsidR="004468E7">
        <w:rPr>
          <w:rFonts w:ascii="Times New Roman" w:hAnsi="Times New Roman" w:cs="Times New Roman"/>
          <w:sz w:val="28"/>
          <w:szCs w:val="28"/>
        </w:rPr>
        <w:t>способствует</w:t>
      </w:r>
      <w:r w:rsidRPr="00666EAA">
        <w:rPr>
          <w:rFonts w:ascii="Times New Roman" w:hAnsi="Times New Roman" w:cs="Times New Roman"/>
          <w:sz w:val="28"/>
          <w:szCs w:val="28"/>
        </w:rPr>
        <w:t xml:space="preserve"> </w:t>
      </w:r>
      <w:r w:rsidR="004468E7">
        <w:rPr>
          <w:rFonts w:ascii="Times New Roman" w:hAnsi="Times New Roman" w:cs="Times New Roman"/>
          <w:sz w:val="28"/>
          <w:szCs w:val="28"/>
        </w:rPr>
        <w:t>продвижению производства</w:t>
      </w:r>
      <w:r w:rsidR="00263AC4">
        <w:rPr>
          <w:rFonts w:ascii="Times New Roman" w:hAnsi="Times New Roman" w:cs="Times New Roman"/>
          <w:sz w:val="28"/>
          <w:szCs w:val="28"/>
        </w:rPr>
        <w:t xml:space="preserve"> корпораций</w:t>
      </w:r>
      <w:r w:rsidR="004468E7">
        <w:rPr>
          <w:rFonts w:ascii="Times New Roman" w:hAnsi="Times New Roman" w:cs="Times New Roman"/>
          <w:sz w:val="28"/>
          <w:szCs w:val="28"/>
        </w:rPr>
        <w:t xml:space="preserve"> на экономически выгодные территории. Территории с высокой емкостью рынка, или дешевыми экономическими ресурсами.</w:t>
      </w:r>
      <w:r w:rsidRPr="00666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E58" w:rsidRPr="00666EAA" w:rsidRDefault="004468E7" w:rsidP="00B81E58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</w:t>
      </w:r>
      <w:r w:rsidR="00B81E58" w:rsidRPr="00666EAA">
        <w:rPr>
          <w:rFonts w:ascii="Times New Roman" w:hAnsi="Times New Roman" w:cs="Times New Roman"/>
          <w:sz w:val="28"/>
          <w:szCs w:val="28"/>
        </w:rPr>
        <w:t xml:space="preserve"> вид франчайзинга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 w:rsidR="00263AC4">
        <w:rPr>
          <w:rFonts w:ascii="Times New Roman" w:hAnsi="Times New Roman" w:cs="Times New Roman"/>
          <w:sz w:val="28"/>
          <w:szCs w:val="28"/>
        </w:rPr>
        <w:t xml:space="preserve"> приоритетно</w:t>
      </w:r>
      <w:r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B81E58" w:rsidRPr="00666EAA">
        <w:rPr>
          <w:rFonts w:ascii="Times New Roman" w:hAnsi="Times New Roman" w:cs="Times New Roman"/>
          <w:sz w:val="28"/>
          <w:szCs w:val="28"/>
        </w:rPr>
        <w:t xml:space="preserve"> производства безалко</w:t>
      </w:r>
      <w:r>
        <w:rPr>
          <w:rFonts w:ascii="Times New Roman" w:hAnsi="Times New Roman" w:cs="Times New Roman"/>
          <w:sz w:val="28"/>
          <w:szCs w:val="28"/>
        </w:rPr>
        <w:t>гольных напитков. К</w:t>
      </w:r>
      <w:r w:rsidR="00B81E58" w:rsidRPr="00666EAA">
        <w:rPr>
          <w:rFonts w:ascii="Times New Roman" w:hAnsi="Times New Roman" w:cs="Times New Roman"/>
          <w:sz w:val="28"/>
          <w:szCs w:val="28"/>
        </w:rPr>
        <w:t xml:space="preserve">орпорации </w:t>
      </w:r>
      <w:proofErr w:type="spellStart"/>
      <w:r w:rsidR="00B81E58" w:rsidRPr="00666EAA">
        <w:rPr>
          <w:rFonts w:ascii="Times New Roman" w:hAnsi="Times New Roman" w:cs="Times New Roman"/>
          <w:sz w:val="28"/>
          <w:szCs w:val="28"/>
          <w:lang w:val="en-US"/>
        </w:rPr>
        <w:t>Pepsico</w:t>
      </w:r>
      <w:proofErr w:type="spellEnd"/>
      <w:r w:rsidR="00B81E58" w:rsidRPr="00666EAA">
        <w:rPr>
          <w:rFonts w:ascii="Times New Roman" w:hAnsi="Times New Roman" w:cs="Times New Roman"/>
          <w:sz w:val="28"/>
          <w:szCs w:val="28"/>
        </w:rPr>
        <w:t xml:space="preserve">, </w:t>
      </w:r>
      <w:r w:rsidR="00B81E58" w:rsidRPr="00666EAA">
        <w:rPr>
          <w:rFonts w:ascii="Times New Roman" w:hAnsi="Times New Roman" w:cs="Times New Roman"/>
          <w:sz w:val="28"/>
          <w:szCs w:val="28"/>
          <w:lang w:val="en-US"/>
        </w:rPr>
        <w:t>Coca</w:t>
      </w:r>
      <w:r w:rsidR="00B81E58" w:rsidRPr="00666EAA">
        <w:rPr>
          <w:rFonts w:ascii="Times New Roman" w:hAnsi="Times New Roman" w:cs="Times New Roman"/>
          <w:sz w:val="28"/>
          <w:szCs w:val="28"/>
        </w:rPr>
        <w:t xml:space="preserve"> </w:t>
      </w:r>
      <w:r w:rsidR="00B81E58" w:rsidRPr="00666EAA">
        <w:rPr>
          <w:rFonts w:ascii="Times New Roman" w:hAnsi="Times New Roman" w:cs="Times New Roman"/>
          <w:sz w:val="28"/>
          <w:szCs w:val="28"/>
          <w:lang w:val="en-US"/>
        </w:rPr>
        <w:t>Cola</w:t>
      </w:r>
      <w:r w:rsidR="00B81E58" w:rsidRPr="00666EAA">
        <w:rPr>
          <w:rFonts w:ascii="Times New Roman" w:hAnsi="Times New Roman" w:cs="Times New Roman"/>
          <w:sz w:val="28"/>
          <w:szCs w:val="28"/>
        </w:rPr>
        <w:t xml:space="preserve">, </w:t>
      </w:r>
      <w:r w:rsidR="00B81E58" w:rsidRPr="00666EAA">
        <w:rPr>
          <w:rFonts w:ascii="Times New Roman" w:hAnsi="Times New Roman" w:cs="Times New Roman"/>
          <w:sz w:val="28"/>
          <w:szCs w:val="28"/>
          <w:lang w:val="en-US"/>
        </w:rPr>
        <w:t>Schweppes</w:t>
      </w:r>
      <w:r w:rsidR="00B81E58" w:rsidRPr="00666EAA">
        <w:rPr>
          <w:rFonts w:ascii="Times New Roman" w:hAnsi="Times New Roman" w:cs="Times New Roman"/>
          <w:sz w:val="28"/>
          <w:szCs w:val="28"/>
        </w:rPr>
        <w:t xml:space="preserve"> </w:t>
      </w:r>
      <w:r w:rsidR="00263AC4">
        <w:rPr>
          <w:rFonts w:ascii="Times New Roman" w:hAnsi="Times New Roman" w:cs="Times New Roman"/>
          <w:sz w:val="28"/>
          <w:szCs w:val="28"/>
        </w:rPr>
        <w:t xml:space="preserve">активно </w:t>
      </w:r>
      <w:r>
        <w:rPr>
          <w:rFonts w:ascii="Times New Roman" w:hAnsi="Times New Roman" w:cs="Times New Roman"/>
          <w:sz w:val="28"/>
          <w:szCs w:val="28"/>
        </w:rPr>
        <w:t>используют этот механизм</w:t>
      </w:r>
      <w:r w:rsidR="00B81E58" w:rsidRPr="00666E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E58" w:rsidRPr="00666EAA" w:rsidRDefault="00263AC4" w:rsidP="00263AC4">
      <w:pPr>
        <w:widowControl w:val="0"/>
        <w:spacing w:after="0" w:line="312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  <w:r w:rsidR="00B81E58" w:rsidRPr="00666E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81E58" w:rsidRPr="00666EAA">
        <w:rPr>
          <w:rFonts w:ascii="Times New Roman" w:hAnsi="Times New Roman" w:cs="Times New Roman"/>
          <w:sz w:val="28"/>
          <w:szCs w:val="28"/>
        </w:rPr>
        <w:t xml:space="preserve">Существует два типа </w:t>
      </w:r>
      <w:r w:rsidR="004468E7" w:rsidRPr="00263AC4">
        <w:rPr>
          <w:rFonts w:ascii="Times New Roman" w:hAnsi="Times New Roman" w:cs="Times New Roman"/>
          <w:b/>
          <w:i/>
          <w:sz w:val="28"/>
          <w:szCs w:val="28"/>
        </w:rPr>
        <w:t>товарного</w:t>
      </w:r>
      <w:r w:rsidR="00C844D5" w:rsidRPr="00263AC4">
        <w:rPr>
          <w:rFonts w:ascii="Times New Roman" w:hAnsi="Times New Roman" w:cs="Times New Roman"/>
          <w:b/>
          <w:i/>
          <w:sz w:val="28"/>
          <w:szCs w:val="28"/>
        </w:rPr>
        <w:t xml:space="preserve"> франчайзинга</w:t>
      </w:r>
      <w:r w:rsidR="00C844D5">
        <w:rPr>
          <w:rFonts w:ascii="Times New Roman" w:hAnsi="Times New Roman" w:cs="Times New Roman"/>
          <w:sz w:val="28"/>
          <w:szCs w:val="28"/>
        </w:rPr>
        <w:t>:</w:t>
      </w:r>
    </w:p>
    <w:p w:rsidR="00B81E58" w:rsidRPr="00666EAA" w:rsidRDefault="00C844D5" w:rsidP="00B81E58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3AC4">
        <w:rPr>
          <w:rFonts w:ascii="Times New Roman" w:hAnsi="Times New Roman" w:cs="Times New Roman"/>
          <w:sz w:val="28"/>
          <w:szCs w:val="28"/>
        </w:rPr>
        <w:t>Первый вид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B81E58" w:rsidRPr="00666EAA">
        <w:rPr>
          <w:rFonts w:ascii="Times New Roman" w:hAnsi="Times New Roman" w:cs="Times New Roman"/>
          <w:sz w:val="28"/>
          <w:szCs w:val="28"/>
        </w:rPr>
        <w:t xml:space="preserve"> предполага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B81E58" w:rsidRPr="00666EAA">
        <w:rPr>
          <w:rFonts w:ascii="Times New Roman" w:hAnsi="Times New Roman" w:cs="Times New Roman"/>
          <w:sz w:val="28"/>
          <w:szCs w:val="28"/>
        </w:rPr>
        <w:t>прод</w:t>
      </w:r>
      <w:r>
        <w:rPr>
          <w:rFonts w:ascii="Times New Roman" w:hAnsi="Times New Roman" w:cs="Times New Roman"/>
          <w:sz w:val="28"/>
          <w:szCs w:val="28"/>
        </w:rPr>
        <w:t>ажу</w:t>
      </w:r>
      <w:r w:rsidR="00B81E58" w:rsidRPr="00666EAA">
        <w:rPr>
          <w:rFonts w:ascii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франчайзера</w:t>
      </w:r>
      <w:proofErr w:type="spellEnd"/>
      <w:r w:rsidR="00B81E58" w:rsidRPr="00666E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1E58" w:rsidRPr="00666EAA">
        <w:rPr>
          <w:rFonts w:ascii="Times New Roman" w:hAnsi="Times New Roman" w:cs="Times New Roman"/>
          <w:sz w:val="28"/>
          <w:szCs w:val="28"/>
        </w:rPr>
        <w:t xml:space="preserve"> продукции, на которой имеется его товарный знак. </w:t>
      </w:r>
    </w:p>
    <w:p w:rsidR="00B81E58" w:rsidRPr="00666EAA" w:rsidRDefault="00C844D5" w:rsidP="00B81E58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3AC4">
        <w:rPr>
          <w:rFonts w:ascii="Times New Roman" w:hAnsi="Times New Roman" w:cs="Times New Roman"/>
          <w:sz w:val="28"/>
          <w:szCs w:val="28"/>
        </w:rPr>
        <w:t xml:space="preserve">Второй вид предполагает, что </w:t>
      </w:r>
      <w:proofErr w:type="spellStart"/>
      <w:r w:rsidR="00263AC4">
        <w:rPr>
          <w:rFonts w:ascii="Times New Roman" w:hAnsi="Times New Roman" w:cs="Times New Roman"/>
          <w:sz w:val="28"/>
          <w:szCs w:val="28"/>
        </w:rPr>
        <w:t>ф</w:t>
      </w:r>
      <w:r w:rsidR="00B81E58" w:rsidRPr="00666EAA">
        <w:rPr>
          <w:rFonts w:ascii="Times New Roman" w:hAnsi="Times New Roman" w:cs="Times New Roman"/>
          <w:sz w:val="28"/>
          <w:szCs w:val="28"/>
        </w:rPr>
        <w:t>ранчайзер</w:t>
      </w:r>
      <w:proofErr w:type="spellEnd"/>
      <w:r w:rsidR="00B81E58" w:rsidRPr="0066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приобретает </w:t>
      </w:r>
      <w:r w:rsidR="00B81E58" w:rsidRPr="00666EAA">
        <w:rPr>
          <w:rFonts w:ascii="Times New Roman" w:hAnsi="Times New Roman" w:cs="Times New Roman"/>
          <w:sz w:val="28"/>
          <w:szCs w:val="28"/>
        </w:rPr>
        <w:t>товары</w:t>
      </w:r>
      <w:r>
        <w:rPr>
          <w:rFonts w:ascii="Times New Roman" w:hAnsi="Times New Roman" w:cs="Times New Roman"/>
          <w:sz w:val="28"/>
          <w:szCs w:val="28"/>
        </w:rPr>
        <w:t xml:space="preserve"> у разных поставщиков, и продает</w:t>
      </w:r>
      <w:r w:rsidR="00B81E58" w:rsidRPr="00666EAA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="00B81E58" w:rsidRPr="00666EAA">
        <w:rPr>
          <w:rFonts w:ascii="Times New Roman" w:hAnsi="Times New Roman" w:cs="Times New Roman"/>
          <w:sz w:val="28"/>
          <w:szCs w:val="28"/>
        </w:rPr>
        <w:t>франчайзи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розничной</w:t>
      </w:r>
      <w:r w:rsidR="00B81E58" w:rsidRPr="00666EAA">
        <w:rPr>
          <w:rFonts w:ascii="Times New Roman" w:hAnsi="Times New Roman" w:cs="Times New Roman"/>
          <w:sz w:val="28"/>
          <w:szCs w:val="28"/>
        </w:rPr>
        <w:t xml:space="preserve"> продажи. По такому </w:t>
      </w:r>
      <w:r>
        <w:rPr>
          <w:rFonts w:ascii="Times New Roman" w:hAnsi="Times New Roman" w:cs="Times New Roman"/>
          <w:sz w:val="28"/>
          <w:szCs w:val="28"/>
        </w:rPr>
        <w:t>схеме</w:t>
      </w:r>
      <w:r w:rsidR="00B81E58" w:rsidRPr="00666EAA">
        <w:rPr>
          <w:rFonts w:ascii="Times New Roman" w:hAnsi="Times New Roman" w:cs="Times New Roman"/>
          <w:sz w:val="28"/>
          <w:szCs w:val="28"/>
        </w:rPr>
        <w:t xml:space="preserve"> работают сетевые гипермаркеты</w:t>
      </w:r>
      <w:r w:rsidR="00263AC4">
        <w:rPr>
          <w:rFonts w:ascii="Times New Roman" w:hAnsi="Times New Roman" w:cs="Times New Roman"/>
          <w:sz w:val="28"/>
          <w:szCs w:val="28"/>
        </w:rPr>
        <w:t>.</w:t>
      </w:r>
      <w:r w:rsidR="00B81E58" w:rsidRPr="00666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E58" w:rsidRDefault="00263AC4" w:rsidP="00B81E58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Сервисный франчайзинг </w:t>
      </w:r>
      <w:r w:rsidRPr="00263AC4">
        <w:rPr>
          <w:rFonts w:ascii="Times New Roman" w:hAnsi="Times New Roman" w:cs="Times New Roman"/>
          <w:bCs/>
          <w:sz w:val="28"/>
          <w:szCs w:val="28"/>
        </w:rPr>
        <w:t>п</w:t>
      </w:r>
      <w:r w:rsidR="00B81E58" w:rsidRPr="00263AC4">
        <w:rPr>
          <w:rFonts w:ascii="Times New Roman" w:hAnsi="Times New Roman" w:cs="Times New Roman"/>
          <w:sz w:val="28"/>
          <w:szCs w:val="28"/>
        </w:rPr>
        <w:t>редполагает</w:t>
      </w:r>
      <w:r w:rsidR="00B81E58" w:rsidRPr="00666EAA">
        <w:rPr>
          <w:rFonts w:ascii="Times New Roman" w:hAnsi="Times New Roman" w:cs="Times New Roman"/>
          <w:sz w:val="28"/>
          <w:szCs w:val="28"/>
        </w:rPr>
        <w:t xml:space="preserve"> </w:t>
      </w:r>
      <w:r w:rsidR="00A22E1B">
        <w:rPr>
          <w:rFonts w:ascii="Times New Roman" w:hAnsi="Times New Roman" w:cs="Times New Roman"/>
          <w:sz w:val="28"/>
          <w:szCs w:val="28"/>
        </w:rPr>
        <w:t>использование</w:t>
      </w:r>
      <w:r w:rsidR="00B81E58" w:rsidRPr="00666EAA">
        <w:rPr>
          <w:rFonts w:ascii="Times New Roman" w:hAnsi="Times New Roman" w:cs="Times New Roman"/>
          <w:sz w:val="28"/>
          <w:szCs w:val="28"/>
        </w:rPr>
        <w:t xml:space="preserve"> торговой марки </w:t>
      </w:r>
      <w:proofErr w:type="spellStart"/>
      <w:r w:rsidR="00B81E58" w:rsidRPr="00666EAA">
        <w:rPr>
          <w:rFonts w:ascii="Times New Roman" w:hAnsi="Times New Roman" w:cs="Times New Roman"/>
          <w:sz w:val="28"/>
          <w:szCs w:val="28"/>
        </w:rPr>
        <w:t>франчайзера</w:t>
      </w:r>
      <w:proofErr w:type="spellEnd"/>
      <w:r w:rsidR="00B81E58" w:rsidRPr="00666EAA">
        <w:rPr>
          <w:rFonts w:ascii="Times New Roman" w:hAnsi="Times New Roman" w:cs="Times New Roman"/>
          <w:sz w:val="28"/>
          <w:szCs w:val="28"/>
        </w:rPr>
        <w:t xml:space="preserve"> и его технологии. </w:t>
      </w:r>
      <w:r w:rsidR="00A22E1B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="00B81E58" w:rsidRPr="00666EAA">
        <w:rPr>
          <w:rFonts w:ascii="Times New Roman" w:hAnsi="Times New Roman" w:cs="Times New Roman"/>
          <w:sz w:val="28"/>
          <w:szCs w:val="28"/>
        </w:rPr>
        <w:t xml:space="preserve">в сфере общественного питания и </w:t>
      </w:r>
      <w:r w:rsidR="00A22E1B">
        <w:rPr>
          <w:rFonts w:ascii="Times New Roman" w:hAnsi="Times New Roman" w:cs="Times New Roman"/>
          <w:sz w:val="28"/>
          <w:szCs w:val="28"/>
        </w:rPr>
        <w:t xml:space="preserve">в сфере услуг: косметических и парикмахерских </w:t>
      </w:r>
      <w:r w:rsidR="00B81E58" w:rsidRPr="00666EAA">
        <w:rPr>
          <w:rFonts w:ascii="Times New Roman" w:hAnsi="Times New Roman" w:cs="Times New Roman"/>
          <w:sz w:val="28"/>
          <w:szCs w:val="28"/>
        </w:rPr>
        <w:t>салонах, бытовых услугах, туристическом бизнесе</w:t>
      </w:r>
      <w:r w:rsidR="00A22E1B">
        <w:rPr>
          <w:rFonts w:ascii="Times New Roman" w:hAnsi="Times New Roman" w:cs="Times New Roman"/>
          <w:sz w:val="28"/>
          <w:szCs w:val="28"/>
        </w:rPr>
        <w:t xml:space="preserve">: </w:t>
      </w:r>
      <w:r w:rsidR="00B81E58" w:rsidRPr="00666EAA">
        <w:rPr>
          <w:rFonts w:ascii="Times New Roman" w:hAnsi="Times New Roman" w:cs="Times New Roman"/>
          <w:sz w:val="28"/>
          <w:szCs w:val="28"/>
        </w:rPr>
        <w:t>«Макдоналдс», «</w:t>
      </w:r>
      <w:proofErr w:type="spellStart"/>
      <w:r w:rsidR="00B81E58" w:rsidRPr="00666EAA">
        <w:rPr>
          <w:rFonts w:ascii="Times New Roman" w:hAnsi="Times New Roman" w:cs="Times New Roman"/>
          <w:sz w:val="28"/>
          <w:szCs w:val="28"/>
        </w:rPr>
        <w:t>Баскин</w:t>
      </w:r>
      <w:proofErr w:type="spellEnd"/>
      <w:r w:rsidR="00B81E58" w:rsidRPr="0066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E58" w:rsidRPr="00666EAA">
        <w:rPr>
          <w:rFonts w:ascii="Times New Roman" w:hAnsi="Times New Roman" w:cs="Times New Roman"/>
          <w:sz w:val="28"/>
          <w:szCs w:val="28"/>
        </w:rPr>
        <w:t>Роббинс</w:t>
      </w:r>
      <w:proofErr w:type="spellEnd"/>
      <w:r w:rsidR="00B81E58" w:rsidRPr="00666EAA">
        <w:rPr>
          <w:rFonts w:ascii="Times New Roman" w:hAnsi="Times New Roman" w:cs="Times New Roman"/>
          <w:sz w:val="28"/>
          <w:szCs w:val="28"/>
        </w:rPr>
        <w:t>», «Кодак», «</w:t>
      </w:r>
      <w:proofErr w:type="spellStart"/>
      <w:r w:rsidR="00B81E58" w:rsidRPr="00666EAA">
        <w:rPr>
          <w:rFonts w:ascii="Times New Roman" w:hAnsi="Times New Roman" w:cs="Times New Roman"/>
          <w:sz w:val="28"/>
          <w:szCs w:val="28"/>
        </w:rPr>
        <w:t>Сабвей</w:t>
      </w:r>
      <w:proofErr w:type="spellEnd"/>
      <w:r w:rsidR="00B81E58" w:rsidRPr="00666E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81E58" w:rsidRPr="00666EAA">
        <w:rPr>
          <w:rFonts w:ascii="Times New Roman" w:hAnsi="Times New Roman" w:cs="Times New Roman"/>
          <w:sz w:val="28"/>
          <w:szCs w:val="28"/>
        </w:rPr>
        <w:t>Сбарро</w:t>
      </w:r>
      <w:proofErr w:type="spellEnd"/>
      <w:r w:rsidR="00B81E58" w:rsidRPr="00666EAA">
        <w:rPr>
          <w:rFonts w:ascii="Times New Roman" w:hAnsi="Times New Roman" w:cs="Times New Roman"/>
          <w:sz w:val="28"/>
          <w:szCs w:val="28"/>
        </w:rPr>
        <w:t>»</w:t>
      </w:r>
      <w:r w:rsidR="00A22E1B">
        <w:rPr>
          <w:rFonts w:ascii="Times New Roman" w:hAnsi="Times New Roman" w:cs="Times New Roman"/>
          <w:sz w:val="28"/>
          <w:szCs w:val="28"/>
        </w:rPr>
        <w:t>.</w:t>
      </w:r>
    </w:p>
    <w:p w:rsidR="009A2AE4" w:rsidRPr="00F418BB" w:rsidRDefault="00F418BB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экономике России франчайзинг является одним из</w:t>
      </w:r>
      <w:r w:rsidR="00263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активных инструментов современного развития бизнеса. Данные, представленные на рисунках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и 2 свидетельствуют, что число компаний-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франчайзеров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 лет возросло в 600 раз,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франчайзинговых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точек за шесть лет в 4,5 раза.</w:t>
      </w:r>
      <w:r w:rsidR="009A2AE4" w:rsidRPr="00666EAA">
        <w:rPr>
          <w:rFonts w:ascii="Times New Roman" w:hAnsi="Times New Roman"/>
          <w:sz w:val="28"/>
        </w:rPr>
        <w:t xml:space="preserve"> </w:t>
      </w:r>
    </w:p>
    <w:p w:rsidR="009A2AE4" w:rsidRPr="00666EAA" w:rsidRDefault="009A2AE4" w:rsidP="009A2AE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1E1F49" wp14:editId="76A31479">
            <wp:extent cx="5934075" cy="2552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2AE4" w:rsidRPr="00535B49" w:rsidRDefault="00F418BB" w:rsidP="009A2AE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B49">
        <w:rPr>
          <w:rFonts w:ascii="Times New Roman" w:hAnsi="Times New Roman" w:cs="Times New Roman"/>
          <w:b/>
          <w:i/>
          <w:sz w:val="28"/>
          <w:szCs w:val="28"/>
        </w:rPr>
        <w:t>Рисунок 1</w:t>
      </w:r>
      <w:r w:rsidR="00535B4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35B49">
        <w:rPr>
          <w:rFonts w:ascii="Times New Roman" w:hAnsi="Times New Roman" w:cs="Times New Roman"/>
          <w:b/>
          <w:i/>
          <w:sz w:val="28"/>
          <w:szCs w:val="28"/>
        </w:rPr>
        <w:t xml:space="preserve"> – Экспертная оценка</w:t>
      </w:r>
      <w:r w:rsidR="009A2AE4" w:rsidRPr="00535B49">
        <w:rPr>
          <w:rFonts w:ascii="Times New Roman" w:hAnsi="Times New Roman" w:cs="Times New Roman"/>
          <w:b/>
          <w:i/>
          <w:sz w:val="28"/>
          <w:szCs w:val="28"/>
        </w:rPr>
        <w:t xml:space="preserve"> числа </w:t>
      </w:r>
      <w:proofErr w:type="spellStart"/>
      <w:r w:rsidR="009A2AE4" w:rsidRPr="00535B49">
        <w:rPr>
          <w:rFonts w:ascii="Times New Roman" w:hAnsi="Times New Roman" w:cs="Times New Roman"/>
          <w:b/>
          <w:i/>
          <w:sz w:val="28"/>
          <w:szCs w:val="28"/>
        </w:rPr>
        <w:t>франчайзеров</w:t>
      </w:r>
      <w:proofErr w:type="spellEnd"/>
      <w:r w:rsidR="009A2AE4" w:rsidRPr="00535B49">
        <w:rPr>
          <w:rFonts w:ascii="Times New Roman" w:hAnsi="Times New Roman" w:cs="Times New Roman"/>
          <w:b/>
          <w:i/>
          <w:sz w:val="28"/>
          <w:szCs w:val="28"/>
        </w:rPr>
        <w:t xml:space="preserve"> в России</w:t>
      </w:r>
    </w:p>
    <w:p w:rsidR="009A2AE4" w:rsidRPr="001744CE" w:rsidRDefault="009A2AE4" w:rsidP="009A2AE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AE4" w:rsidRPr="00666EAA" w:rsidRDefault="009A2AE4" w:rsidP="009A2AE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5567CE" wp14:editId="0C7C41CD">
            <wp:extent cx="5934075" cy="20383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2AE4" w:rsidRPr="00535B49" w:rsidRDefault="00F418BB" w:rsidP="009A2AE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B49">
        <w:rPr>
          <w:rFonts w:ascii="Times New Roman" w:hAnsi="Times New Roman" w:cs="Times New Roman"/>
          <w:b/>
          <w:i/>
          <w:sz w:val="28"/>
          <w:szCs w:val="28"/>
        </w:rPr>
        <w:t>Рисунок 2</w:t>
      </w:r>
      <w:r w:rsidR="00535B4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35B49">
        <w:rPr>
          <w:rFonts w:ascii="Times New Roman" w:hAnsi="Times New Roman" w:cs="Times New Roman"/>
          <w:b/>
          <w:i/>
          <w:sz w:val="28"/>
          <w:szCs w:val="28"/>
        </w:rPr>
        <w:t xml:space="preserve"> – Экспертная оценка </w:t>
      </w:r>
      <w:r w:rsidR="009A2AE4" w:rsidRPr="00535B49">
        <w:rPr>
          <w:rFonts w:ascii="Times New Roman" w:hAnsi="Times New Roman" w:cs="Times New Roman"/>
          <w:b/>
          <w:i/>
          <w:sz w:val="28"/>
          <w:szCs w:val="28"/>
        </w:rPr>
        <w:t xml:space="preserve">числа предприятий </w:t>
      </w:r>
      <w:proofErr w:type="spellStart"/>
      <w:r w:rsidR="009A2AE4" w:rsidRPr="00535B49">
        <w:rPr>
          <w:rFonts w:ascii="Times New Roman" w:hAnsi="Times New Roman" w:cs="Times New Roman"/>
          <w:b/>
          <w:i/>
          <w:sz w:val="28"/>
          <w:szCs w:val="28"/>
        </w:rPr>
        <w:t>франчайзи</w:t>
      </w:r>
      <w:proofErr w:type="spellEnd"/>
      <w:r w:rsidR="009A2AE4" w:rsidRPr="00535B49">
        <w:rPr>
          <w:rFonts w:ascii="Times New Roman" w:hAnsi="Times New Roman" w:cs="Times New Roman"/>
          <w:b/>
          <w:i/>
          <w:sz w:val="28"/>
          <w:szCs w:val="28"/>
        </w:rPr>
        <w:t xml:space="preserve"> в России</w:t>
      </w:r>
    </w:p>
    <w:p w:rsidR="009A2AE4" w:rsidRPr="00666EAA" w:rsidRDefault="003E31F3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на рисунках данные свидетельствуют о том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, что за исследуемый период число </w:t>
      </w:r>
      <w:proofErr w:type="spellStart"/>
      <w:r w:rsidR="009A2AE4" w:rsidRPr="00666EAA">
        <w:rPr>
          <w:rFonts w:ascii="Times New Roman" w:hAnsi="Times New Roman" w:cs="Times New Roman"/>
          <w:sz w:val="28"/>
          <w:szCs w:val="28"/>
        </w:rPr>
        <w:t>франчайзинговых</w:t>
      </w:r>
      <w:proofErr w:type="spellEnd"/>
      <w:r w:rsidR="009A2AE4" w:rsidRPr="00666EAA">
        <w:rPr>
          <w:rFonts w:ascii="Times New Roman" w:hAnsi="Times New Roman" w:cs="Times New Roman"/>
          <w:sz w:val="28"/>
          <w:szCs w:val="28"/>
        </w:rPr>
        <w:t xml:space="preserve"> компаний в России стабильно росло,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263AC4">
        <w:rPr>
          <w:rFonts w:ascii="Times New Roman" w:hAnsi="Times New Roman" w:cs="Times New Roman"/>
          <w:sz w:val="28"/>
          <w:szCs w:val="28"/>
        </w:rPr>
        <w:t>динамику не снизил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 даже мировой экономический кризис. Начиная с 2009 года ежегодный прирост количества предприятий, открываемых по франшизе в стране, оценивается примерно в 35%. </w:t>
      </w:r>
    </w:p>
    <w:p w:rsidR="009A2AE4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  <w:bookmarkStart w:id="1" w:name="_Toc342947781"/>
      <w:r w:rsidRPr="00666EAA">
        <w:rPr>
          <w:rFonts w:ascii="Times New Roman" w:hAnsi="Times New Roman" w:cs="Times New Roman"/>
          <w:sz w:val="28"/>
          <w:szCs w:val="28"/>
        </w:rPr>
        <w:t xml:space="preserve">Популярность </w:t>
      </w:r>
      <w:proofErr w:type="spellStart"/>
      <w:r w:rsidRPr="00666EAA">
        <w:rPr>
          <w:rFonts w:ascii="Times New Roman" w:hAnsi="Times New Roman" w:cs="Times New Roman"/>
          <w:sz w:val="28"/>
          <w:szCs w:val="28"/>
        </w:rPr>
        <w:t>франчайзингового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бизнеса в России в периоды нестабильной экономики - общемировая тенденция. Согласно мировой статистике из всех вновь образованных </w:t>
      </w:r>
      <w:r w:rsidR="003E31F3">
        <w:rPr>
          <w:rFonts w:ascii="Times New Roman" w:hAnsi="Times New Roman" w:cs="Times New Roman"/>
          <w:sz w:val="28"/>
          <w:szCs w:val="28"/>
        </w:rPr>
        <w:t>компаний 77</w:t>
      </w:r>
      <w:r w:rsidRPr="00666EAA">
        <w:rPr>
          <w:rFonts w:ascii="Times New Roman" w:hAnsi="Times New Roman" w:cs="Times New Roman"/>
          <w:sz w:val="28"/>
          <w:szCs w:val="28"/>
        </w:rPr>
        <w:t>% прекращают свою деятельность в те</w:t>
      </w:r>
      <w:r w:rsidR="003E31F3">
        <w:rPr>
          <w:rFonts w:ascii="Times New Roman" w:hAnsi="Times New Roman" w:cs="Times New Roman"/>
          <w:sz w:val="28"/>
          <w:szCs w:val="28"/>
        </w:rPr>
        <w:t>чение первых пяти лет, а из компаний</w:t>
      </w:r>
      <w:r w:rsidRPr="00666EAA">
        <w:rPr>
          <w:rFonts w:ascii="Times New Roman" w:hAnsi="Times New Roman" w:cs="Times New Roman"/>
          <w:sz w:val="28"/>
          <w:szCs w:val="28"/>
        </w:rPr>
        <w:t>, созданных в</w:t>
      </w:r>
      <w:r w:rsidR="00263AC4">
        <w:rPr>
          <w:rFonts w:ascii="Times New Roman" w:hAnsi="Times New Roman" w:cs="Times New Roman"/>
          <w:sz w:val="28"/>
          <w:szCs w:val="28"/>
        </w:rPr>
        <w:t xml:space="preserve"> рамках </w:t>
      </w:r>
      <w:proofErr w:type="gramStart"/>
      <w:r w:rsidR="00263AC4">
        <w:rPr>
          <w:rFonts w:ascii="Times New Roman" w:hAnsi="Times New Roman" w:cs="Times New Roman"/>
          <w:sz w:val="28"/>
          <w:szCs w:val="28"/>
        </w:rPr>
        <w:t xml:space="preserve">франчайзинга, </w:t>
      </w:r>
      <w:r w:rsidR="003E31F3">
        <w:rPr>
          <w:rFonts w:ascii="Times New Roman" w:hAnsi="Times New Roman" w:cs="Times New Roman"/>
          <w:sz w:val="28"/>
          <w:szCs w:val="28"/>
        </w:rPr>
        <w:t xml:space="preserve"> только</w:t>
      </w:r>
      <w:proofErr w:type="gramEnd"/>
      <w:r w:rsidR="003E31F3">
        <w:rPr>
          <w:rFonts w:ascii="Times New Roman" w:hAnsi="Times New Roman" w:cs="Times New Roman"/>
          <w:sz w:val="28"/>
          <w:szCs w:val="28"/>
        </w:rPr>
        <w:t xml:space="preserve"> 8</w:t>
      </w:r>
      <w:r w:rsidRPr="00666EAA">
        <w:rPr>
          <w:rFonts w:ascii="Times New Roman" w:hAnsi="Times New Roman" w:cs="Times New Roman"/>
          <w:sz w:val="28"/>
          <w:szCs w:val="28"/>
        </w:rPr>
        <w:t>%</w:t>
      </w:r>
      <w:r w:rsidR="003E31F3">
        <w:rPr>
          <w:rFonts w:ascii="Times New Roman" w:hAnsi="Times New Roman" w:cs="Times New Roman"/>
          <w:sz w:val="28"/>
          <w:szCs w:val="28"/>
        </w:rPr>
        <w:t xml:space="preserve"> (рис. 3)</w:t>
      </w:r>
      <w:r w:rsidRPr="00666EAA">
        <w:rPr>
          <w:rFonts w:ascii="Times New Roman" w:hAnsi="Times New Roman" w:cs="Times New Roman"/>
          <w:sz w:val="28"/>
          <w:szCs w:val="28"/>
        </w:rPr>
        <w:t>.</w:t>
      </w:r>
      <w:r w:rsidRPr="00666EAA">
        <w:rPr>
          <w:rFonts w:ascii="Times New Roman" w:hAnsi="Times New Roman"/>
          <w:sz w:val="28"/>
        </w:rPr>
        <w:t xml:space="preserve"> </w:t>
      </w:r>
    </w:p>
    <w:p w:rsidR="009A2AE4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</w:p>
    <w:p w:rsidR="009A2AE4" w:rsidRPr="00666EAA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AE4" w:rsidRDefault="009A2AE4" w:rsidP="009A2AE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EA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5F50189" wp14:editId="734890C0">
            <wp:extent cx="5822576" cy="2084294"/>
            <wp:effectExtent l="0" t="0" r="698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2AE4" w:rsidRPr="00535B49" w:rsidRDefault="003E31F3" w:rsidP="009A2AE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B49">
        <w:rPr>
          <w:rFonts w:ascii="Times New Roman" w:hAnsi="Times New Roman" w:cs="Times New Roman"/>
          <w:b/>
          <w:i/>
          <w:sz w:val="28"/>
          <w:szCs w:val="28"/>
        </w:rPr>
        <w:t>Рисунок 3</w:t>
      </w:r>
      <w:r w:rsidR="00535B4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A2AE4" w:rsidRPr="00535B49">
        <w:rPr>
          <w:rFonts w:ascii="Times New Roman" w:hAnsi="Times New Roman" w:cs="Times New Roman"/>
          <w:b/>
          <w:i/>
          <w:sz w:val="28"/>
          <w:szCs w:val="28"/>
        </w:rPr>
        <w:t xml:space="preserve"> – Финансовая устойчивость фирм, использующих франчайзинг</w:t>
      </w:r>
    </w:p>
    <w:p w:rsidR="009A2AE4" w:rsidRPr="00666EAA" w:rsidRDefault="009A2AE4" w:rsidP="009A2AE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AE4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>Объем российского рынка франчайзинга к 2010 году составлял 4,5 млрд долларов, а прирост предприятий, открытых по франшизе в 2008-2010 годах, – 98%. О</w:t>
      </w:r>
      <w:r w:rsidR="003E31F3">
        <w:rPr>
          <w:rFonts w:ascii="Times New Roman" w:hAnsi="Times New Roman" w:cs="Times New Roman"/>
          <w:sz w:val="28"/>
          <w:szCs w:val="28"/>
        </w:rPr>
        <w:t xml:space="preserve">бщие тенденции подтверждаются </w:t>
      </w:r>
      <w:r w:rsidRPr="00666EAA">
        <w:rPr>
          <w:rFonts w:ascii="Times New Roman" w:hAnsi="Times New Roman" w:cs="Times New Roman"/>
          <w:sz w:val="28"/>
          <w:szCs w:val="28"/>
        </w:rPr>
        <w:t xml:space="preserve">статистикой конкретных </w:t>
      </w:r>
      <w:proofErr w:type="spellStart"/>
      <w:r w:rsidR="00263AC4">
        <w:rPr>
          <w:rFonts w:ascii="Times New Roman" w:hAnsi="Times New Roman" w:cs="Times New Roman"/>
          <w:sz w:val="28"/>
          <w:szCs w:val="28"/>
        </w:rPr>
        <w:t>франчайзоров</w:t>
      </w:r>
      <w:proofErr w:type="spellEnd"/>
      <w:r w:rsidR="00263AC4">
        <w:rPr>
          <w:rFonts w:ascii="Times New Roman" w:hAnsi="Times New Roman" w:cs="Times New Roman"/>
          <w:sz w:val="28"/>
          <w:szCs w:val="28"/>
        </w:rPr>
        <w:t xml:space="preserve"> (Рисунок 4</w:t>
      </w:r>
      <w:r w:rsidRPr="00666EAA">
        <w:rPr>
          <w:rFonts w:ascii="Times New Roman" w:hAnsi="Times New Roman" w:cs="Times New Roman"/>
          <w:sz w:val="28"/>
          <w:szCs w:val="28"/>
        </w:rPr>
        <w:t>).</w:t>
      </w:r>
    </w:p>
    <w:p w:rsidR="009A2AE4" w:rsidRPr="00666EAA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AE4" w:rsidRPr="00666EAA" w:rsidRDefault="009A2AE4" w:rsidP="009A2AE4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666EAA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6ECF651C" wp14:editId="2566D391">
            <wp:extent cx="2914650" cy="197167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666EAA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74CF26D5" wp14:editId="4A11AC52">
            <wp:extent cx="2914650" cy="19716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2AE4" w:rsidRPr="00666EAA" w:rsidRDefault="009A2AE4" w:rsidP="009A2AE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0C91D8" wp14:editId="3443CCF5">
            <wp:extent cx="2914650" cy="197167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666EAA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281AA367" wp14:editId="20FB7C70">
            <wp:extent cx="2914650" cy="19716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2AE4" w:rsidRPr="00535B49" w:rsidRDefault="003E31F3" w:rsidP="009A2AE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B49">
        <w:rPr>
          <w:rFonts w:ascii="Times New Roman" w:hAnsi="Times New Roman" w:cs="Times New Roman"/>
          <w:b/>
          <w:i/>
          <w:sz w:val="28"/>
          <w:szCs w:val="28"/>
        </w:rPr>
        <w:t>Рисунок 4</w:t>
      </w:r>
      <w:r w:rsidR="00535B4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A2AE4" w:rsidRPr="00535B49">
        <w:rPr>
          <w:rFonts w:ascii="Times New Roman" w:hAnsi="Times New Roman" w:cs="Times New Roman"/>
          <w:b/>
          <w:i/>
          <w:sz w:val="28"/>
          <w:szCs w:val="28"/>
        </w:rPr>
        <w:t xml:space="preserve"> – Динамика расширения </w:t>
      </w:r>
      <w:proofErr w:type="spellStart"/>
      <w:r w:rsidR="009A2AE4" w:rsidRPr="00535B49">
        <w:rPr>
          <w:rFonts w:ascii="Times New Roman" w:hAnsi="Times New Roman" w:cs="Times New Roman"/>
          <w:b/>
          <w:i/>
          <w:sz w:val="28"/>
          <w:szCs w:val="28"/>
        </w:rPr>
        <w:t>франчайзинговых</w:t>
      </w:r>
      <w:proofErr w:type="spellEnd"/>
      <w:r w:rsidR="009A2AE4" w:rsidRPr="00535B49">
        <w:rPr>
          <w:rFonts w:ascii="Times New Roman" w:hAnsi="Times New Roman" w:cs="Times New Roman"/>
          <w:b/>
          <w:i/>
          <w:sz w:val="28"/>
          <w:szCs w:val="28"/>
        </w:rPr>
        <w:t xml:space="preserve"> сетей</w:t>
      </w:r>
      <w:r w:rsidRPr="00535B49">
        <w:rPr>
          <w:rFonts w:ascii="Times New Roman" w:hAnsi="Times New Roman" w:cs="Times New Roman"/>
          <w:b/>
          <w:i/>
          <w:sz w:val="28"/>
          <w:szCs w:val="28"/>
        </w:rPr>
        <w:t xml:space="preserve"> в России</w:t>
      </w:r>
    </w:p>
    <w:p w:rsidR="009A2AE4" w:rsidRPr="00666EAA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 xml:space="preserve">На рост рынка повлияло повышение активности </w:t>
      </w:r>
      <w:proofErr w:type="spellStart"/>
      <w:r w:rsidRPr="00666EAA">
        <w:rPr>
          <w:rFonts w:ascii="Times New Roman" w:hAnsi="Times New Roman" w:cs="Times New Roman"/>
          <w:sz w:val="28"/>
          <w:szCs w:val="28"/>
        </w:rPr>
        <w:t>франчайзеров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и выход </w:t>
      </w:r>
      <w:r w:rsidR="003E31F3">
        <w:rPr>
          <w:rFonts w:ascii="Times New Roman" w:hAnsi="Times New Roman" w:cs="Times New Roman"/>
          <w:sz w:val="28"/>
          <w:szCs w:val="28"/>
        </w:rPr>
        <w:t>на рынок новых</w:t>
      </w:r>
      <w:r w:rsidRPr="00666EAA">
        <w:rPr>
          <w:rFonts w:ascii="Times New Roman" w:hAnsi="Times New Roman" w:cs="Times New Roman"/>
          <w:sz w:val="28"/>
          <w:szCs w:val="28"/>
        </w:rPr>
        <w:t xml:space="preserve">. В 2010 году в Россию </w:t>
      </w:r>
      <w:r w:rsidR="003E31F3">
        <w:rPr>
          <w:rFonts w:ascii="Times New Roman" w:hAnsi="Times New Roman" w:cs="Times New Roman"/>
          <w:sz w:val="28"/>
          <w:szCs w:val="28"/>
        </w:rPr>
        <w:t>внедрилось много</w:t>
      </w:r>
      <w:r w:rsidRPr="00666EAA">
        <w:rPr>
          <w:rFonts w:ascii="Times New Roman" w:hAnsi="Times New Roman" w:cs="Times New Roman"/>
          <w:sz w:val="28"/>
          <w:szCs w:val="28"/>
        </w:rPr>
        <w:t xml:space="preserve"> мировых брендов, </w:t>
      </w:r>
      <w:r w:rsidR="003E31F3">
        <w:rPr>
          <w:rFonts w:ascii="Times New Roman" w:hAnsi="Times New Roman" w:cs="Times New Roman"/>
          <w:sz w:val="28"/>
          <w:szCs w:val="28"/>
        </w:rPr>
        <w:t xml:space="preserve">и </w:t>
      </w:r>
      <w:r w:rsidRPr="00666EAA">
        <w:rPr>
          <w:rFonts w:ascii="Times New Roman" w:hAnsi="Times New Roman" w:cs="Times New Roman"/>
          <w:sz w:val="28"/>
          <w:szCs w:val="28"/>
        </w:rPr>
        <w:lastRenderedPageBreak/>
        <w:t xml:space="preserve">до половины новых точек, в том числе региональных, открывались по франчайзингу. </w:t>
      </w:r>
    </w:p>
    <w:bookmarkEnd w:id="1"/>
    <w:p w:rsidR="009A2AE4" w:rsidRPr="00666EAA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 xml:space="preserve">Россия за последние годы стала одним из мировых лидеров </w:t>
      </w:r>
      <w:r w:rsidR="003E31F3">
        <w:rPr>
          <w:rFonts w:ascii="Times New Roman" w:hAnsi="Times New Roman" w:cs="Times New Roman"/>
          <w:sz w:val="28"/>
          <w:szCs w:val="28"/>
        </w:rPr>
        <w:t>по темпам</w:t>
      </w:r>
      <w:r w:rsidRPr="00666EAA">
        <w:rPr>
          <w:rFonts w:ascii="Times New Roman" w:hAnsi="Times New Roman" w:cs="Times New Roman"/>
          <w:sz w:val="28"/>
          <w:szCs w:val="28"/>
        </w:rPr>
        <w:t xml:space="preserve"> роста франчайзинга. РАФ</w:t>
      </w:r>
      <w:r w:rsidR="00433342">
        <w:rPr>
          <w:rFonts w:ascii="Times New Roman" w:hAnsi="Times New Roman" w:cs="Times New Roman"/>
          <w:sz w:val="28"/>
          <w:szCs w:val="28"/>
        </w:rPr>
        <w:t xml:space="preserve"> (российская ассоциация </w:t>
      </w:r>
      <w:proofErr w:type="spellStart"/>
      <w:r w:rsidR="00433342">
        <w:rPr>
          <w:rFonts w:ascii="Times New Roman" w:hAnsi="Times New Roman" w:cs="Times New Roman"/>
          <w:sz w:val="28"/>
          <w:szCs w:val="28"/>
        </w:rPr>
        <w:t>франчайзеров</w:t>
      </w:r>
      <w:proofErr w:type="spellEnd"/>
      <w:r w:rsidR="00433342">
        <w:rPr>
          <w:rFonts w:ascii="Times New Roman" w:hAnsi="Times New Roman" w:cs="Times New Roman"/>
          <w:sz w:val="28"/>
          <w:szCs w:val="28"/>
        </w:rPr>
        <w:t>)</w:t>
      </w:r>
      <w:r w:rsidRPr="00666EAA">
        <w:rPr>
          <w:rFonts w:ascii="Times New Roman" w:hAnsi="Times New Roman" w:cs="Times New Roman"/>
          <w:sz w:val="28"/>
          <w:szCs w:val="28"/>
        </w:rPr>
        <w:t xml:space="preserve"> и </w:t>
      </w:r>
      <w:r w:rsidRPr="00666EAA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66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EAA">
        <w:rPr>
          <w:rFonts w:ascii="Times New Roman" w:hAnsi="Times New Roman" w:cs="Times New Roman"/>
          <w:sz w:val="28"/>
          <w:szCs w:val="28"/>
          <w:lang w:val="en-US"/>
        </w:rPr>
        <w:t>Francise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</w:t>
      </w:r>
      <w:r w:rsidRPr="00666EAA">
        <w:rPr>
          <w:rFonts w:ascii="Times New Roman" w:hAnsi="Times New Roman" w:cs="Times New Roman"/>
          <w:sz w:val="28"/>
          <w:szCs w:val="28"/>
          <w:lang w:val="en-US"/>
        </w:rPr>
        <w:t>Council</w:t>
      </w:r>
      <w:r w:rsidRPr="00666EAA">
        <w:rPr>
          <w:rFonts w:ascii="Times New Roman" w:hAnsi="Times New Roman" w:cs="Times New Roman"/>
          <w:sz w:val="28"/>
          <w:szCs w:val="28"/>
        </w:rPr>
        <w:t xml:space="preserve"> сопоставляют следующие данные:</w:t>
      </w:r>
    </w:p>
    <w:p w:rsidR="009A2AE4" w:rsidRPr="00666EAA" w:rsidRDefault="009A2AE4" w:rsidP="009A2AE4">
      <w:pPr>
        <w:widowControl w:val="0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EAA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666EAA">
        <w:rPr>
          <w:rFonts w:ascii="Times New Roman" w:hAnsi="Times New Roman" w:cs="Times New Roman"/>
          <w:sz w:val="28"/>
          <w:szCs w:val="28"/>
        </w:rPr>
        <w:t xml:space="preserve"> занятых по итогам 2010 года составило 327426 человек против 27748 человек в 2009 году; </w:t>
      </w:r>
    </w:p>
    <w:p w:rsidR="009A2AE4" w:rsidRPr="00666EAA" w:rsidRDefault="009A2AE4" w:rsidP="009A2AE4">
      <w:pPr>
        <w:widowControl w:val="0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EAA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66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EAA">
        <w:rPr>
          <w:rFonts w:ascii="Times New Roman" w:hAnsi="Times New Roman" w:cs="Times New Roman"/>
          <w:sz w:val="28"/>
          <w:szCs w:val="28"/>
        </w:rPr>
        <w:t>франчайзеров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достигло 595 предприятий с 485 годом ранее, объектов франчайзинга – 21044 в 2010 против 20731 в 2009 году; </w:t>
      </w:r>
    </w:p>
    <w:p w:rsidR="009A2AE4" w:rsidRPr="00666EAA" w:rsidRDefault="009A2AE4" w:rsidP="009A2AE4">
      <w:pPr>
        <w:widowControl w:val="0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EAA">
        <w:rPr>
          <w:rFonts w:ascii="Times New Roman" w:hAnsi="Times New Roman" w:cs="Times New Roman"/>
          <w:sz w:val="28"/>
          <w:szCs w:val="28"/>
        </w:rPr>
        <w:t>доля</w:t>
      </w:r>
      <w:proofErr w:type="gramEnd"/>
      <w:r w:rsidRPr="00666EAA">
        <w:rPr>
          <w:rFonts w:ascii="Times New Roman" w:hAnsi="Times New Roman" w:cs="Times New Roman"/>
          <w:sz w:val="28"/>
          <w:szCs w:val="28"/>
        </w:rPr>
        <w:t xml:space="preserve"> франчайзинга в ВВП страны составила 1,9%. </w:t>
      </w:r>
    </w:p>
    <w:p w:rsidR="009A2AE4" w:rsidRPr="00535B49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>РАФ прогнозирует, что к 2020 году количество занятых сфере франчайзи</w:t>
      </w:r>
      <w:r w:rsidR="00433342">
        <w:rPr>
          <w:rFonts w:ascii="Times New Roman" w:hAnsi="Times New Roman" w:cs="Times New Roman"/>
          <w:sz w:val="28"/>
          <w:szCs w:val="28"/>
        </w:rPr>
        <w:t>нга в РФ может возрасти до 827 тысяч</w:t>
      </w:r>
      <w:r w:rsidRPr="00666EAA">
        <w:rPr>
          <w:rFonts w:ascii="Times New Roman" w:hAnsi="Times New Roman" w:cs="Times New Roman"/>
          <w:sz w:val="28"/>
          <w:szCs w:val="28"/>
        </w:rPr>
        <w:t xml:space="preserve"> человек, число </w:t>
      </w:r>
      <w:proofErr w:type="spellStart"/>
      <w:r w:rsidRPr="00666EAA">
        <w:rPr>
          <w:rFonts w:ascii="Times New Roman" w:hAnsi="Times New Roman" w:cs="Times New Roman"/>
          <w:sz w:val="28"/>
          <w:szCs w:val="28"/>
        </w:rPr>
        <w:t>франчайзеров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– до 1,7 тысячи предприятий, </w:t>
      </w:r>
      <w:r w:rsidR="00433342">
        <w:rPr>
          <w:rFonts w:ascii="Times New Roman" w:hAnsi="Times New Roman" w:cs="Times New Roman"/>
          <w:sz w:val="28"/>
          <w:szCs w:val="28"/>
        </w:rPr>
        <w:t>объектов франчайзинга – до 94 тысяч</w:t>
      </w:r>
      <w:r w:rsidRPr="00666EAA">
        <w:rPr>
          <w:rFonts w:ascii="Times New Roman" w:hAnsi="Times New Roman" w:cs="Times New Roman"/>
          <w:sz w:val="28"/>
          <w:szCs w:val="28"/>
        </w:rPr>
        <w:t>, а доля франчайзинга в ВВП – до 5%</w:t>
      </w:r>
      <w:r w:rsidR="009443B4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Pr="00666EAA">
        <w:rPr>
          <w:rFonts w:ascii="Times New Roman" w:hAnsi="Times New Roman" w:cs="Times New Roman"/>
          <w:sz w:val="28"/>
          <w:szCs w:val="28"/>
        </w:rPr>
        <w:t>.</w:t>
      </w:r>
    </w:p>
    <w:p w:rsidR="009A2AE4" w:rsidRPr="00535B49" w:rsidRDefault="00433342" w:rsidP="009A2AE4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35B49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  <w:r w:rsidR="009A2AE4" w:rsidRPr="00535B4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A2AE4" w:rsidRPr="00535B49" w:rsidRDefault="009A2AE4" w:rsidP="009A2AE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5B49">
        <w:rPr>
          <w:rFonts w:ascii="Times New Roman" w:hAnsi="Times New Roman" w:cs="Times New Roman"/>
          <w:b/>
          <w:i/>
          <w:sz w:val="28"/>
          <w:szCs w:val="28"/>
        </w:rPr>
        <w:t xml:space="preserve">Прогноз развития франчайзинга в США </w:t>
      </w:r>
      <w:proofErr w:type="gramStart"/>
      <w:r w:rsidRPr="00535B49">
        <w:rPr>
          <w:rFonts w:ascii="Times New Roman" w:hAnsi="Times New Roman" w:cs="Times New Roman"/>
          <w:b/>
          <w:i/>
          <w:sz w:val="28"/>
          <w:szCs w:val="28"/>
        </w:rPr>
        <w:t>и  в</w:t>
      </w:r>
      <w:proofErr w:type="gramEnd"/>
      <w:r w:rsidRPr="00535B49">
        <w:rPr>
          <w:rFonts w:ascii="Times New Roman" w:hAnsi="Times New Roman" w:cs="Times New Roman"/>
          <w:b/>
          <w:i/>
          <w:sz w:val="28"/>
          <w:szCs w:val="28"/>
        </w:rPr>
        <w:t xml:space="preserve"> России</w:t>
      </w:r>
    </w:p>
    <w:tbl>
      <w:tblPr>
        <w:tblStyle w:val="af4"/>
        <w:tblW w:w="5000" w:type="pct"/>
        <w:tblLook w:val="0000" w:firstRow="0" w:lastRow="0" w:firstColumn="0" w:lastColumn="0" w:noHBand="0" w:noVBand="0"/>
      </w:tblPr>
      <w:tblGrid>
        <w:gridCol w:w="2738"/>
        <w:gridCol w:w="1196"/>
        <w:gridCol w:w="1196"/>
        <w:gridCol w:w="2130"/>
        <w:gridCol w:w="2085"/>
      </w:tblGrid>
      <w:tr w:rsidR="009A2AE4" w:rsidRPr="00666EAA" w:rsidTr="009A2AE4">
        <w:tc>
          <w:tcPr>
            <w:tcW w:w="1510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2009</w:t>
            </w:r>
          </w:p>
        </w:tc>
        <w:tc>
          <w:tcPr>
            <w:tcW w:w="573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1184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 (прогноз РАФ)</w:t>
            </w:r>
          </w:p>
        </w:tc>
        <w:tc>
          <w:tcPr>
            <w:tcW w:w="1161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Ежегодный прирост</w:t>
            </w:r>
          </w:p>
        </w:tc>
      </w:tr>
      <w:tr w:rsidR="009A2AE4" w:rsidRPr="00666EAA" w:rsidTr="009A2AE4">
        <w:tc>
          <w:tcPr>
            <w:tcW w:w="5000" w:type="pct"/>
            <w:gridSpan w:val="5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Россия</w:t>
            </w:r>
          </w:p>
        </w:tc>
      </w:tr>
      <w:tr w:rsidR="009A2AE4" w:rsidRPr="00666EAA" w:rsidTr="009A2AE4">
        <w:tc>
          <w:tcPr>
            <w:tcW w:w="1510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занятых</w:t>
            </w:r>
          </w:p>
        </w:tc>
        <w:tc>
          <w:tcPr>
            <w:tcW w:w="573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277480</w:t>
            </w:r>
          </w:p>
        </w:tc>
        <w:tc>
          <w:tcPr>
            <w:tcW w:w="573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327426</w:t>
            </w:r>
          </w:p>
        </w:tc>
        <w:tc>
          <w:tcPr>
            <w:tcW w:w="1184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826886</w:t>
            </w:r>
          </w:p>
        </w:tc>
        <w:tc>
          <w:tcPr>
            <w:tcW w:w="1161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+18%</w:t>
            </w:r>
          </w:p>
        </w:tc>
      </w:tr>
      <w:tr w:rsidR="009A2AE4" w:rsidRPr="00666EAA" w:rsidTr="009A2AE4">
        <w:tc>
          <w:tcPr>
            <w:tcW w:w="1510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4CE">
              <w:rPr>
                <w:rFonts w:ascii="Times New Roman" w:hAnsi="Times New Roman" w:cs="Times New Roman"/>
                <w:bCs/>
                <w:sz w:val="28"/>
                <w:szCs w:val="28"/>
              </w:rPr>
              <w:t>Франчайзоры</w:t>
            </w:r>
            <w:proofErr w:type="spellEnd"/>
          </w:p>
        </w:tc>
        <w:tc>
          <w:tcPr>
            <w:tcW w:w="573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573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1184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1695</w:t>
            </w:r>
          </w:p>
        </w:tc>
        <w:tc>
          <w:tcPr>
            <w:tcW w:w="1161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+22,7%</w:t>
            </w:r>
          </w:p>
        </w:tc>
      </w:tr>
      <w:tr w:rsidR="009A2AE4" w:rsidRPr="00666EAA" w:rsidTr="009A2AE4">
        <w:tc>
          <w:tcPr>
            <w:tcW w:w="1510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4CE">
              <w:rPr>
                <w:rFonts w:ascii="Times New Roman" w:hAnsi="Times New Roman" w:cs="Times New Roman"/>
                <w:bCs/>
                <w:sz w:val="28"/>
                <w:szCs w:val="28"/>
              </w:rPr>
              <w:t>Франчайзи</w:t>
            </w:r>
            <w:proofErr w:type="spellEnd"/>
          </w:p>
        </w:tc>
        <w:tc>
          <w:tcPr>
            <w:tcW w:w="573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20731</w:t>
            </w:r>
          </w:p>
        </w:tc>
        <w:tc>
          <w:tcPr>
            <w:tcW w:w="573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21044</w:t>
            </w:r>
          </w:p>
        </w:tc>
        <w:tc>
          <w:tcPr>
            <w:tcW w:w="1184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93861</w:t>
            </w:r>
          </w:p>
        </w:tc>
        <w:tc>
          <w:tcPr>
            <w:tcW w:w="1161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+35,3 %</w:t>
            </w:r>
          </w:p>
        </w:tc>
      </w:tr>
      <w:tr w:rsidR="009A2AE4" w:rsidRPr="00666EAA" w:rsidTr="009A2AE4">
        <w:tc>
          <w:tcPr>
            <w:tcW w:w="1510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bCs/>
                <w:sz w:val="28"/>
                <w:szCs w:val="28"/>
              </w:rPr>
              <w:t>Доля франчайзинга в ВВП:</w:t>
            </w:r>
          </w:p>
        </w:tc>
        <w:tc>
          <w:tcPr>
            <w:tcW w:w="573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1,90 %</w:t>
            </w:r>
          </w:p>
        </w:tc>
        <w:tc>
          <w:tcPr>
            <w:tcW w:w="1184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5 %</w:t>
            </w:r>
          </w:p>
        </w:tc>
        <w:tc>
          <w:tcPr>
            <w:tcW w:w="1161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AE4" w:rsidRPr="001744CE" w:rsidTr="009A2AE4">
        <w:tc>
          <w:tcPr>
            <w:tcW w:w="5000" w:type="pct"/>
            <w:gridSpan w:val="5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b/>
                <w:sz w:val="28"/>
                <w:szCs w:val="28"/>
              </w:rPr>
              <w:t>США</w:t>
            </w:r>
          </w:p>
        </w:tc>
      </w:tr>
      <w:tr w:rsidR="009A2AE4" w:rsidRPr="001744CE" w:rsidTr="009A2AE4">
        <w:tc>
          <w:tcPr>
            <w:tcW w:w="1510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Количество занятых</w:t>
            </w:r>
          </w:p>
        </w:tc>
        <w:tc>
          <w:tcPr>
            <w:tcW w:w="573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7572000</w:t>
            </w:r>
          </w:p>
        </w:tc>
        <w:tc>
          <w:tcPr>
            <w:tcW w:w="573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7614000</w:t>
            </w:r>
          </w:p>
        </w:tc>
        <w:tc>
          <w:tcPr>
            <w:tcW w:w="1184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7652000</w:t>
            </w:r>
          </w:p>
        </w:tc>
        <w:tc>
          <w:tcPr>
            <w:tcW w:w="1161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+0,5%</w:t>
            </w:r>
          </w:p>
        </w:tc>
      </w:tr>
      <w:tr w:rsidR="009A2AE4" w:rsidRPr="001744CE" w:rsidTr="009A2AE4">
        <w:tc>
          <w:tcPr>
            <w:tcW w:w="1510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Франчайзоры</w:t>
            </w:r>
            <w:proofErr w:type="spellEnd"/>
          </w:p>
        </w:tc>
        <w:tc>
          <w:tcPr>
            <w:tcW w:w="573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573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2270</w:t>
            </w:r>
          </w:p>
        </w:tc>
        <w:tc>
          <w:tcPr>
            <w:tcW w:w="1184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2979</w:t>
            </w:r>
          </w:p>
        </w:tc>
        <w:tc>
          <w:tcPr>
            <w:tcW w:w="1161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+3,6%</w:t>
            </w:r>
          </w:p>
        </w:tc>
      </w:tr>
      <w:tr w:rsidR="009A2AE4" w:rsidRPr="001744CE" w:rsidTr="009A2AE4">
        <w:tc>
          <w:tcPr>
            <w:tcW w:w="1510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Франчайзи</w:t>
            </w:r>
            <w:proofErr w:type="spellEnd"/>
          </w:p>
        </w:tc>
        <w:tc>
          <w:tcPr>
            <w:tcW w:w="573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763094</w:t>
            </w:r>
          </w:p>
        </w:tc>
        <w:tc>
          <w:tcPr>
            <w:tcW w:w="573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765723</w:t>
            </w:r>
          </w:p>
        </w:tc>
        <w:tc>
          <w:tcPr>
            <w:tcW w:w="1184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792013</w:t>
            </w:r>
          </w:p>
        </w:tc>
        <w:tc>
          <w:tcPr>
            <w:tcW w:w="1161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+0,4%</w:t>
            </w:r>
          </w:p>
        </w:tc>
      </w:tr>
      <w:tr w:rsidR="009A2AE4" w:rsidRPr="001744CE" w:rsidTr="009A2AE4">
        <w:tc>
          <w:tcPr>
            <w:tcW w:w="1510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Доля франчайзинга в ВВП:</w:t>
            </w:r>
          </w:p>
        </w:tc>
        <w:tc>
          <w:tcPr>
            <w:tcW w:w="573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1184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CE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1161" w:type="pct"/>
          </w:tcPr>
          <w:p w:rsidR="009A2AE4" w:rsidRPr="001744CE" w:rsidRDefault="009A2AE4" w:rsidP="009A2AE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AE4" w:rsidRDefault="009A2AE4" w:rsidP="009A2AE4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AE4" w:rsidRDefault="00433342" w:rsidP="009A2AE4">
      <w:pPr>
        <w:widowControl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представленные в таблице</w:t>
      </w:r>
      <w:r w:rsidR="009A2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свидетельствуют о колоссальных перспективах франчайзинга в России. Темпы прироста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франчайзоров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России в 5 раз выше, чем в США,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франчайзи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–более, чем в 70 раз. При этом доля франчайзинга в ВВП Российской Федерации в 3 раза меньше, чем в США.</w:t>
      </w:r>
    </w:p>
    <w:p w:rsidR="009443B4" w:rsidRPr="00666EAA" w:rsidRDefault="009443B4" w:rsidP="009A2AE4">
      <w:pPr>
        <w:widowControl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Франчайзинг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отраслях экономики.</w:t>
      </w:r>
    </w:p>
    <w:p w:rsidR="00433342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 xml:space="preserve">Выделяют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666EAA">
        <w:rPr>
          <w:rFonts w:ascii="Times New Roman" w:hAnsi="Times New Roman" w:cs="Times New Roman"/>
          <w:sz w:val="28"/>
          <w:szCs w:val="28"/>
        </w:rPr>
        <w:t xml:space="preserve"> сектора экономики, в которых успешно применяется </w:t>
      </w:r>
      <w:r w:rsidRPr="00666EAA">
        <w:rPr>
          <w:rFonts w:ascii="Times New Roman" w:hAnsi="Times New Roman" w:cs="Times New Roman"/>
          <w:sz w:val="28"/>
          <w:szCs w:val="28"/>
        </w:rPr>
        <w:lastRenderedPageBreak/>
        <w:t xml:space="preserve">франчайзинг. </w:t>
      </w:r>
    </w:p>
    <w:p w:rsidR="00433342" w:rsidRDefault="00433342" w:rsidP="00433342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езусловным </w:t>
      </w:r>
      <w:r>
        <w:rPr>
          <w:rFonts w:ascii="Times New Roman" w:hAnsi="Times New Roman" w:cs="Times New Roman"/>
          <w:sz w:val="28"/>
          <w:szCs w:val="28"/>
        </w:rPr>
        <w:t>лидером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сектор розничной торговли</w:t>
      </w:r>
      <w:r w:rsidR="009A2AE4" w:rsidRPr="00666EAA">
        <w:rPr>
          <w:rFonts w:ascii="Times New Roman" w:hAnsi="Times New Roman" w:cs="Times New Roman"/>
          <w:sz w:val="28"/>
          <w:szCs w:val="28"/>
        </w:rPr>
        <w:t>, которая занимает больше половины доли рынка франчайзинга (52%). Более, четверт</w:t>
      </w:r>
      <w:r w:rsidR="009443B4">
        <w:rPr>
          <w:rFonts w:ascii="Times New Roman" w:hAnsi="Times New Roman" w:cs="Times New Roman"/>
          <w:sz w:val="28"/>
          <w:szCs w:val="28"/>
        </w:rPr>
        <w:t>и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 рынка занимает сфера услуг (29%), затем следует общественное питание (15%).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3B4">
        <w:rPr>
          <w:rFonts w:ascii="Times New Roman" w:hAnsi="Times New Roman" w:cs="Times New Roman"/>
          <w:sz w:val="28"/>
          <w:szCs w:val="28"/>
        </w:rPr>
        <w:t>Однако д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оля </w:t>
      </w:r>
      <w:proofErr w:type="spellStart"/>
      <w:r w:rsidR="009A2AE4" w:rsidRPr="00666EAA">
        <w:rPr>
          <w:rFonts w:ascii="Times New Roman" w:hAnsi="Times New Roman" w:cs="Times New Roman"/>
          <w:sz w:val="28"/>
          <w:szCs w:val="28"/>
        </w:rPr>
        <w:t>франчайзинговых</w:t>
      </w:r>
      <w:proofErr w:type="spellEnd"/>
      <w:r w:rsidR="009A2AE4" w:rsidRPr="00666EAA">
        <w:rPr>
          <w:rFonts w:ascii="Times New Roman" w:hAnsi="Times New Roman" w:cs="Times New Roman"/>
          <w:sz w:val="28"/>
          <w:szCs w:val="28"/>
        </w:rPr>
        <w:t xml:space="preserve"> проектов в производственной сфере </w:t>
      </w:r>
      <w:r w:rsidR="009443B4">
        <w:rPr>
          <w:rFonts w:ascii="Times New Roman" w:hAnsi="Times New Roman" w:cs="Times New Roman"/>
          <w:sz w:val="28"/>
          <w:szCs w:val="28"/>
        </w:rPr>
        <w:t xml:space="preserve">все еще мала и 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всего лишь 4%. </w:t>
      </w:r>
    </w:p>
    <w:p w:rsidR="009A2AE4" w:rsidRDefault="009A2AE4" w:rsidP="00433342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 xml:space="preserve"> Наиболее рентабельными и популярными являются франшизы в сегментах розничной торговли фирменной одеждой и быстрого питания</w:t>
      </w:r>
      <w:r w:rsidR="00433342">
        <w:rPr>
          <w:rFonts w:ascii="Times New Roman" w:hAnsi="Times New Roman" w:cs="Times New Roman"/>
          <w:sz w:val="28"/>
          <w:szCs w:val="28"/>
        </w:rPr>
        <w:t xml:space="preserve">. </w:t>
      </w:r>
      <w:r w:rsidRPr="00666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AE4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AE4" w:rsidRPr="004F618E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AE4" w:rsidRPr="00666EAA" w:rsidRDefault="009A2AE4" w:rsidP="009A2AE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6E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7D3F2D" wp14:editId="2BED73C5">
            <wp:extent cx="5876925" cy="2057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A2AE4" w:rsidRDefault="009A2AE4" w:rsidP="009A2AE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AE4" w:rsidRPr="00535B49" w:rsidRDefault="00433342" w:rsidP="009A2AE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B49">
        <w:rPr>
          <w:rFonts w:ascii="Times New Roman" w:hAnsi="Times New Roman" w:cs="Times New Roman"/>
          <w:b/>
          <w:i/>
          <w:sz w:val="28"/>
          <w:szCs w:val="28"/>
        </w:rPr>
        <w:t>Рисунок 5</w:t>
      </w:r>
      <w:r w:rsidR="00535B4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A2AE4" w:rsidRPr="00535B49">
        <w:rPr>
          <w:rFonts w:ascii="Times New Roman" w:hAnsi="Times New Roman" w:cs="Times New Roman"/>
          <w:b/>
          <w:i/>
          <w:sz w:val="28"/>
          <w:szCs w:val="28"/>
        </w:rPr>
        <w:t xml:space="preserve"> - Отраслевая структура франчайзинга в России в 2012 году</w:t>
      </w:r>
    </w:p>
    <w:p w:rsidR="009A2AE4" w:rsidRPr="00373FF8" w:rsidRDefault="00263AC4" w:rsidP="009A2AE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31261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 xml:space="preserve">Анализ структуры франчайзинга по сферам деятельности свидетельствует о том, что преобладающей сферой, на протяжении более чем пяти </w:t>
      </w:r>
      <w:proofErr w:type="gramStart"/>
      <w:r w:rsidRPr="00666EAA">
        <w:rPr>
          <w:rFonts w:ascii="Times New Roman" w:hAnsi="Times New Roman" w:cs="Times New Roman"/>
          <w:sz w:val="28"/>
          <w:szCs w:val="28"/>
        </w:rPr>
        <w:t>лет</w:t>
      </w:r>
      <w:r w:rsidR="00D31261">
        <w:rPr>
          <w:rFonts w:ascii="Times New Roman" w:hAnsi="Times New Roman" w:cs="Times New Roman"/>
          <w:sz w:val="28"/>
          <w:szCs w:val="28"/>
        </w:rPr>
        <w:t>,  является</w:t>
      </w:r>
      <w:proofErr w:type="gramEnd"/>
      <w:r w:rsidRPr="00666EAA">
        <w:rPr>
          <w:rFonts w:ascii="Times New Roman" w:hAnsi="Times New Roman" w:cs="Times New Roman"/>
          <w:sz w:val="28"/>
          <w:szCs w:val="28"/>
        </w:rPr>
        <w:t xml:space="preserve"> </w:t>
      </w:r>
      <w:r w:rsidR="00D31261">
        <w:rPr>
          <w:rFonts w:ascii="Times New Roman" w:hAnsi="Times New Roman" w:cs="Times New Roman"/>
          <w:sz w:val="28"/>
          <w:szCs w:val="28"/>
        </w:rPr>
        <w:t>розничная торговля.</w:t>
      </w:r>
    </w:p>
    <w:p w:rsidR="009A2AE4" w:rsidRPr="00666EAA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 xml:space="preserve"> Снижение доли сектора общественного питания об</w:t>
      </w:r>
      <w:r w:rsidR="00D31261">
        <w:rPr>
          <w:rFonts w:ascii="Times New Roman" w:hAnsi="Times New Roman" w:cs="Times New Roman"/>
          <w:sz w:val="28"/>
          <w:szCs w:val="28"/>
        </w:rPr>
        <w:t xml:space="preserve">условлено </w:t>
      </w:r>
      <w:r w:rsidRPr="00666EAA">
        <w:rPr>
          <w:rFonts w:ascii="Times New Roman" w:hAnsi="Times New Roman" w:cs="Times New Roman"/>
          <w:sz w:val="28"/>
          <w:szCs w:val="28"/>
        </w:rPr>
        <w:t>тем, что сфер</w:t>
      </w:r>
      <w:r w:rsidR="00D31261">
        <w:rPr>
          <w:rFonts w:ascii="Times New Roman" w:hAnsi="Times New Roman" w:cs="Times New Roman"/>
          <w:sz w:val="28"/>
          <w:szCs w:val="28"/>
        </w:rPr>
        <w:t>а услуг увеличила темпы роста:</w:t>
      </w:r>
      <w:r w:rsidRPr="00666EAA">
        <w:rPr>
          <w:rFonts w:ascii="Times New Roman" w:hAnsi="Times New Roman" w:cs="Times New Roman"/>
          <w:sz w:val="28"/>
          <w:szCs w:val="28"/>
        </w:rPr>
        <w:t xml:space="preserve"> с 18 % в 2007 году до 26 % в 2011 году, что постепенно приближает уровень развития российского</w:t>
      </w:r>
      <w:r w:rsidR="009443B4">
        <w:rPr>
          <w:rFonts w:ascii="Times New Roman" w:hAnsi="Times New Roman" w:cs="Times New Roman"/>
          <w:sz w:val="28"/>
          <w:szCs w:val="28"/>
        </w:rPr>
        <w:t xml:space="preserve"> франчайзинга к мировым уровням</w:t>
      </w:r>
      <w:r w:rsidRPr="00666E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AE4" w:rsidRPr="00666EAA" w:rsidRDefault="009A2AE4" w:rsidP="009A2AE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EAA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4F7F1EE9" wp14:editId="5AD1C262">
            <wp:extent cx="5838825" cy="16954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666EA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A2AE4" w:rsidRPr="00535B49" w:rsidRDefault="001A705F" w:rsidP="00535B4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B49">
        <w:rPr>
          <w:rFonts w:ascii="Times New Roman" w:hAnsi="Times New Roman" w:cs="Times New Roman"/>
          <w:b/>
          <w:i/>
          <w:sz w:val="28"/>
          <w:szCs w:val="28"/>
        </w:rPr>
        <w:t>Рисунок 6</w:t>
      </w:r>
      <w:r w:rsidR="00535B4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A2AE4" w:rsidRPr="00535B49">
        <w:rPr>
          <w:rFonts w:ascii="Times New Roman" w:hAnsi="Times New Roman" w:cs="Times New Roman"/>
          <w:b/>
          <w:i/>
          <w:sz w:val="28"/>
          <w:szCs w:val="28"/>
        </w:rPr>
        <w:t xml:space="preserve"> ― Динамика структуры франчайзинга в России по сферам деятельности с 2007 по 2011 гг.</w:t>
      </w:r>
    </w:p>
    <w:p w:rsidR="009A2AE4" w:rsidRDefault="001A705F" w:rsidP="009A2AE4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в конце</w:t>
      </w:r>
      <w:r w:rsidR="009A2AE4" w:rsidRPr="00666EAA">
        <w:rPr>
          <w:rFonts w:ascii="Times New Roman" w:eastAsia="Calibri" w:hAnsi="Times New Roman" w:cs="Times New Roman"/>
          <w:sz w:val="28"/>
          <w:szCs w:val="28"/>
        </w:rPr>
        <w:t xml:space="preserve"> 2010 года в нашей стране преобладали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традиционные </w:t>
      </w:r>
      <w:proofErr w:type="spellStart"/>
      <w:r w:rsidR="009A2AE4" w:rsidRPr="00666EAA">
        <w:rPr>
          <w:rFonts w:ascii="Times New Roman" w:eastAsia="Calibri" w:hAnsi="Times New Roman" w:cs="Times New Roman"/>
          <w:sz w:val="28"/>
          <w:szCs w:val="28"/>
        </w:rPr>
        <w:t>франчайзинговые</w:t>
      </w:r>
      <w:proofErr w:type="spellEnd"/>
      <w:r w:rsidR="009A2AE4" w:rsidRPr="00666EAA">
        <w:rPr>
          <w:rFonts w:ascii="Times New Roman" w:eastAsia="Calibri" w:hAnsi="Times New Roman" w:cs="Times New Roman"/>
          <w:sz w:val="28"/>
          <w:szCs w:val="28"/>
        </w:rPr>
        <w:t xml:space="preserve"> системы, работающие более 5 лет,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составляя 56,5%, то в 2012 году</w:t>
      </w:r>
      <w:r w:rsidR="009A2AE4" w:rsidRPr="00666EAA">
        <w:rPr>
          <w:rFonts w:ascii="Times New Roman" w:eastAsia="Calibri" w:hAnsi="Times New Roman" w:cs="Times New Roman"/>
          <w:sz w:val="28"/>
          <w:szCs w:val="28"/>
        </w:rPr>
        <w:t xml:space="preserve"> соотношение изменилось в пользу молодых франшиз, доля которых состав</w:t>
      </w:r>
      <w:r>
        <w:rPr>
          <w:rFonts w:ascii="Times New Roman" w:eastAsia="Calibri" w:hAnsi="Times New Roman" w:cs="Times New Roman"/>
          <w:sz w:val="28"/>
          <w:szCs w:val="28"/>
        </w:rPr>
        <w:t>ила 60% (Рисунок 7</w:t>
      </w:r>
      <w:r w:rsidR="009A2AE4" w:rsidRPr="00666EA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A2AE4" w:rsidRPr="00666EAA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AE4" w:rsidRPr="00666EAA" w:rsidRDefault="009A2AE4" w:rsidP="009A2AE4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6EA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C1B1F77" wp14:editId="7792E75A">
            <wp:extent cx="5857875" cy="180022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A2AE4" w:rsidRPr="00535B49" w:rsidRDefault="009A2AE4" w:rsidP="009A2AE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2AE4" w:rsidRPr="00535B49" w:rsidRDefault="001A705F" w:rsidP="00B93AC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B49">
        <w:rPr>
          <w:rFonts w:ascii="Times New Roman" w:hAnsi="Times New Roman" w:cs="Times New Roman"/>
          <w:b/>
          <w:i/>
          <w:sz w:val="28"/>
          <w:szCs w:val="28"/>
        </w:rPr>
        <w:t>Рисунок 7</w:t>
      </w:r>
      <w:r w:rsidR="00535B4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A2AE4" w:rsidRPr="00535B49">
        <w:rPr>
          <w:rFonts w:ascii="Times New Roman" w:hAnsi="Times New Roman" w:cs="Times New Roman"/>
          <w:b/>
          <w:i/>
          <w:sz w:val="28"/>
          <w:szCs w:val="28"/>
        </w:rPr>
        <w:t xml:space="preserve"> ― Возраст </w:t>
      </w:r>
      <w:proofErr w:type="spellStart"/>
      <w:r w:rsidR="009A2AE4" w:rsidRPr="00535B49">
        <w:rPr>
          <w:rFonts w:ascii="Times New Roman" w:hAnsi="Times New Roman" w:cs="Times New Roman"/>
          <w:b/>
          <w:i/>
          <w:sz w:val="28"/>
          <w:szCs w:val="28"/>
        </w:rPr>
        <w:t>франчайзинговых</w:t>
      </w:r>
      <w:proofErr w:type="spellEnd"/>
      <w:r w:rsidR="009A2AE4" w:rsidRPr="00535B49">
        <w:rPr>
          <w:rFonts w:ascii="Times New Roman" w:hAnsi="Times New Roman" w:cs="Times New Roman"/>
          <w:b/>
          <w:i/>
          <w:sz w:val="28"/>
          <w:szCs w:val="28"/>
        </w:rPr>
        <w:t xml:space="preserve"> сетей на российском рынке</w:t>
      </w:r>
    </w:p>
    <w:p w:rsidR="009A2AE4" w:rsidRPr="00666EAA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AE4" w:rsidRPr="00535B49" w:rsidRDefault="009A2AE4" w:rsidP="009A2AE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AA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59C260B4" wp14:editId="1104C0B8">
            <wp:extent cx="5915025" cy="20955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2AE4" w:rsidRPr="00535B49" w:rsidRDefault="001A705F" w:rsidP="009A2AE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>Рисунок 8</w:t>
      </w:r>
      <w:r w:rsidR="00535B49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9A2AE4"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Структура </w:t>
      </w:r>
      <w:proofErr w:type="spellStart"/>
      <w:r w:rsidR="009A2AE4"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>франчайзинговых</w:t>
      </w:r>
      <w:proofErr w:type="spellEnd"/>
      <w:r w:rsidR="009A2AE4"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сетей по числу партнерских точек</w:t>
      </w:r>
    </w:p>
    <w:p w:rsidR="009A2AE4" w:rsidRPr="00666EAA" w:rsidRDefault="009A2AE4" w:rsidP="009A2AE4">
      <w:pPr>
        <w:widowControl w:val="0"/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российском рынке доминируют </w:t>
      </w:r>
      <w:r w:rsidR="001A705F">
        <w:rPr>
          <w:rFonts w:ascii="Times New Roman" w:eastAsia="Calibri" w:hAnsi="Times New Roman" w:cs="Times New Roman"/>
          <w:sz w:val="28"/>
          <w:szCs w:val="28"/>
        </w:rPr>
        <w:t xml:space="preserve">малые </w:t>
      </w:r>
      <w:proofErr w:type="spellStart"/>
      <w:r w:rsidRPr="00666EAA">
        <w:rPr>
          <w:rFonts w:ascii="Times New Roman" w:eastAsia="Calibri" w:hAnsi="Times New Roman" w:cs="Times New Roman"/>
          <w:sz w:val="28"/>
          <w:szCs w:val="28"/>
        </w:rPr>
        <w:t>франчайзинговые</w:t>
      </w:r>
      <w:proofErr w:type="spellEnd"/>
      <w:r w:rsidRPr="00666E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705F">
        <w:rPr>
          <w:rFonts w:ascii="Times New Roman" w:eastAsia="Calibri" w:hAnsi="Times New Roman" w:cs="Times New Roman"/>
          <w:sz w:val="28"/>
          <w:szCs w:val="28"/>
        </w:rPr>
        <w:t>сети</w:t>
      </w:r>
      <w:r w:rsidRPr="00666EAA">
        <w:rPr>
          <w:rFonts w:ascii="Times New Roman" w:eastAsia="Calibri" w:hAnsi="Times New Roman" w:cs="Times New Roman"/>
          <w:sz w:val="28"/>
          <w:szCs w:val="28"/>
        </w:rPr>
        <w:t xml:space="preserve">, имеющее менее 10 партнерских точек (47%), а доля крупных сетей, включающих более 50 </w:t>
      </w:r>
      <w:proofErr w:type="spellStart"/>
      <w:r w:rsidRPr="00666EAA">
        <w:rPr>
          <w:rFonts w:ascii="Times New Roman" w:eastAsia="Calibri" w:hAnsi="Times New Roman" w:cs="Times New Roman"/>
          <w:sz w:val="28"/>
          <w:szCs w:val="28"/>
        </w:rPr>
        <w:t>франчайзи</w:t>
      </w:r>
      <w:proofErr w:type="spellEnd"/>
      <w:r w:rsidRPr="00666EAA">
        <w:rPr>
          <w:rFonts w:ascii="Times New Roman" w:eastAsia="Calibri" w:hAnsi="Times New Roman" w:cs="Times New Roman"/>
          <w:sz w:val="28"/>
          <w:szCs w:val="28"/>
        </w:rPr>
        <w:t xml:space="preserve">, не превышает 18% (Рисунок </w:t>
      </w:r>
      <w:r w:rsidR="001A705F">
        <w:rPr>
          <w:rFonts w:ascii="Times New Roman" w:eastAsia="Calibri" w:hAnsi="Times New Roman" w:cs="Times New Roman"/>
          <w:sz w:val="28"/>
          <w:szCs w:val="28"/>
        </w:rPr>
        <w:t>8</w:t>
      </w:r>
      <w:r w:rsidRPr="00666EA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A2AE4" w:rsidRPr="001A705F" w:rsidRDefault="009A2AE4" w:rsidP="001A705F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AA">
        <w:rPr>
          <w:rFonts w:ascii="Times New Roman" w:eastAsia="Calibri" w:hAnsi="Times New Roman" w:cs="Times New Roman"/>
          <w:sz w:val="28"/>
          <w:szCs w:val="28"/>
        </w:rPr>
        <w:t xml:space="preserve">На начало 2013 года в России официально зафиксировано 607 франшиз, объединяющих 12998 корпоративных и 22014 </w:t>
      </w:r>
      <w:proofErr w:type="spellStart"/>
      <w:r w:rsidRPr="00666EAA">
        <w:rPr>
          <w:rFonts w:ascii="Times New Roman" w:eastAsia="Calibri" w:hAnsi="Times New Roman" w:cs="Times New Roman"/>
          <w:sz w:val="28"/>
          <w:szCs w:val="28"/>
        </w:rPr>
        <w:t>франчайзинговых</w:t>
      </w:r>
      <w:proofErr w:type="spellEnd"/>
      <w:r w:rsidRPr="00666EAA">
        <w:rPr>
          <w:rFonts w:ascii="Times New Roman" w:eastAsia="Calibri" w:hAnsi="Times New Roman" w:cs="Times New Roman"/>
          <w:sz w:val="28"/>
          <w:szCs w:val="28"/>
        </w:rPr>
        <w:t xml:space="preserve"> точек. Таким образом, на одного </w:t>
      </w:r>
      <w:proofErr w:type="spellStart"/>
      <w:r w:rsidRPr="00666EAA">
        <w:rPr>
          <w:rFonts w:ascii="Times New Roman" w:eastAsia="Calibri" w:hAnsi="Times New Roman" w:cs="Times New Roman"/>
          <w:sz w:val="28"/>
          <w:szCs w:val="28"/>
        </w:rPr>
        <w:t>франчайзера</w:t>
      </w:r>
      <w:proofErr w:type="spellEnd"/>
      <w:r w:rsidRPr="00666EAA">
        <w:rPr>
          <w:rFonts w:ascii="Times New Roman" w:eastAsia="Calibri" w:hAnsi="Times New Roman" w:cs="Times New Roman"/>
          <w:sz w:val="28"/>
          <w:szCs w:val="28"/>
        </w:rPr>
        <w:t xml:space="preserve"> в среднем приходится 36 </w:t>
      </w:r>
      <w:proofErr w:type="spellStart"/>
      <w:r w:rsidRPr="00666EAA">
        <w:rPr>
          <w:rFonts w:ascii="Times New Roman" w:eastAsia="Calibri" w:hAnsi="Times New Roman" w:cs="Times New Roman"/>
          <w:sz w:val="28"/>
          <w:szCs w:val="28"/>
        </w:rPr>
        <w:t>франчайзи</w:t>
      </w:r>
      <w:proofErr w:type="spellEnd"/>
      <w:r w:rsidRPr="00666EAA">
        <w:rPr>
          <w:rFonts w:ascii="Times New Roman" w:eastAsia="Calibri" w:hAnsi="Times New Roman" w:cs="Times New Roman"/>
          <w:sz w:val="28"/>
          <w:szCs w:val="28"/>
        </w:rPr>
        <w:t>, в то время в других странах эти показате</w:t>
      </w:r>
      <w:r w:rsidR="001A705F">
        <w:rPr>
          <w:rFonts w:ascii="Times New Roman" w:eastAsia="Calibri" w:hAnsi="Times New Roman" w:cs="Times New Roman"/>
          <w:sz w:val="28"/>
          <w:szCs w:val="28"/>
        </w:rPr>
        <w:t>ли на порядок выше (Таблица 2).</w:t>
      </w:r>
    </w:p>
    <w:p w:rsidR="009A2AE4" w:rsidRPr="00535B49" w:rsidRDefault="001A705F" w:rsidP="009A2AE4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>Таблица 2</w:t>
      </w:r>
      <w:r w:rsidR="009A2AE4"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</w:p>
    <w:p w:rsidR="009A2AE4" w:rsidRPr="00535B49" w:rsidRDefault="009A2AE4" w:rsidP="001A705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Международные соотношения </w:t>
      </w:r>
      <w:proofErr w:type="spellStart"/>
      <w:r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>франчайзеров</w:t>
      </w:r>
      <w:proofErr w:type="spellEnd"/>
      <w:r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>франчайзи</w:t>
      </w:r>
      <w:proofErr w:type="spellEnd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01"/>
        <w:gridCol w:w="3128"/>
        <w:gridCol w:w="3116"/>
      </w:tblGrid>
      <w:tr w:rsidR="009A2AE4" w:rsidRPr="00666EAA" w:rsidTr="009A2AE4">
        <w:tc>
          <w:tcPr>
            <w:tcW w:w="3190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66EA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Страна</w:t>
            </w:r>
          </w:p>
        </w:tc>
        <w:tc>
          <w:tcPr>
            <w:tcW w:w="3190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 w:rsidRPr="00666EA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Франчайзеры</w:t>
            </w:r>
            <w:proofErr w:type="spellEnd"/>
            <w:r w:rsidRPr="00666EA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, ед.</w:t>
            </w:r>
          </w:p>
        </w:tc>
        <w:tc>
          <w:tcPr>
            <w:tcW w:w="3191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 w:rsidRPr="00666EA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Франчайзи</w:t>
            </w:r>
            <w:proofErr w:type="spellEnd"/>
            <w:r w:rsidRPr="00666EA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, ед.</w:t>
            </w:r>
          </w:p>
        </w:tc>
      </w:tr>
      <w:tr w:rsidR="009A2AE4" w:rsidRPr="00666EAA" w:rsidTr="009A2AE4">
        <w:tc>
          <w:tcPr>
            <w:tcW w:w="3190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eastAsia="Calibri" w:hAnsi="Times New Roman" w:cs="Times New Roman"/>
                <w:sz w:val="24"/>
                <w:szCs w:val="28"/>
              </w:rPr>
              <w:t>Китай</w:t>
            </w:r>
          </w:p>
        </w:tc>
        <w:tc>
          <w:tcPr>
            <w:tcW w:w="3190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eastAsia="Calibri" w:hAnsi="Times New Roman" w:cs="Times New Roman"/>
                <w:sz w:val="24"/>
                <w:szCs w:val="28"/>
              </w:rPr>
              <w:t>5000</w:t>
            </w:r>
          </w:p>
        </w:tc>
        <w:tc>
          <w:tcPr>
            <w:tcW w:w="3191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eastAsia="Calibri" w:hAnsi="Times New Roman" w:cs="Times New Roman"/>
                <w:sz w:val="24"/>
                <w:szCs w:val="28"/>
              </w:rPr>
              <w:t>1000000</w:t>
            </w:r>
          </w:p>
        </w:tc>
      </w:tr>
      <w:tr w:rsidR="009A2AE4" w:rsidRPr="00666EAA" w:rsidTr="009A2AE4">
        <w:tc>
          <w:tcPr>
            <w:tcW w:w="3190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eastAsia="Calibri" w:hAnsi="Times New Roman" w:cs="Times New Roman"/>
                <w:sz w:val="24"/>
                <w:szCs w:val="28"/>
              </w:rPr>
              <w:t>США</w:t>
            </w:r>
          </w:p>
        </w:tc>
        <w:tc>
          <w:tcPr>
            <w:tcW w:w="3190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hAnsi="Times New Roman" w:cs="Times New Roman"/>
                <w:sz w:val="24"/>
                <w:szCs w:val="28"/>
              </w:rPr>
              <w:t>2400</w:t>
            </w:r>
          </w:p>
        </w:tc>
        <w:tc>
          <w:tcPr>
            <w:tcW w:w="3191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hAnsi="Times New Roman" w:cs="Times New Roman"/>
                <w:sz w:val="24"/>
                <w:szCs w:val="28"/>
              </w:rPr>
              <w:t>760000</w:t>
            </w:r>
          </w:p>
        </w:tc>
      </w:tr>
      <w:tr w:rsidR="009A2AE4" w:rsidRPr="00666EAA" w:rsidTr="009A2AE4">
        <w:tc>
          <w:tcPr>
            <w:tcW w:w="3190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eastAsia="Calibri" w:hAnsi="Times New Roman" w:cs="Times New Roman"/>
                <w:sz w:val="24"/>
                <w:szCs w:val="28"/>
              </w:rPr>
              <w:t>Бразилия</w:t>
            </w:r>
          </w:p>
        </w:tc>
        <w:tc>
          <w:tcPr>
            <w:tcW w:w="3190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hAnsi="Times New Roman" w:cs="Times New Roman"/>
                <w:sz w:val="24"/>
                <w:szCs w:val="28"/>
              </w:rPr>
              <w:t>1 850</w:t>
            </w:r>
          </w:p>
        </w:tc>
        <w:tc>
          <w:tcPr>
            <w:tcW w:w="3191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hAnsi="Times New Roman" w:cs="Times New Roman"/>
                <w:sz w:val="24"/>
                <w:szCs w:val="28"/>
              </w:rPr>
              <w:t>93 098</w:t>
            </w:r>
          </w:p>
        </w:tc>
      </w:tr>
      <w:tr w:rsidR="009A2AE4" w:rsidRPr="00666EAA" w:rsidTr="009A2AE4">
        <w:tc>
          <w:tcPr>
            <w:tcW w:w="3190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eastAsia="Calibri" w:hAnsi="Times New Roman" w:cs="Times New Roman"/>
                <w:sz w:val="24"/>
                <w:szCs w:val="28"/>
              </w:rPr>
              <w:t>Индия</w:t>
            </w:r>
          </w:p>
        </w:tc>
        <w:tc>
          <w:tcPr>
            <w:tcW w:w="3190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hAnsi="Times New Roman" w:cs="Times New Roman"/>
                <w:sz w:val="24"/>
                <w:szCs w:val="28"/>
              </w:rPr>
              <w:t>1 200</w:t>
            </w:r>
          </w:p>
        </w:tc>
        <w:tc>
          <w:tcPr>
            <w:tcW w:w="3191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hAnsi="Times New Roman" w:cs="Times New Roman"/>
                <w:sz w:val="24"/>
                <w:szCs w:val="28"/>
              </w:rPr>
              <w:t>150 000</w:t>
            </w:r>
          </w:p>
        </w:tc>
      </w:tr>
      <w:tr w:rsidR="009A2AE4" w:rsidRPr="00666EAA" w:rsidTr="009A2AE4">
        <w:tc>
          <w:tcPr>
            <w:tcW w:w="3190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eastAsia="Calibri" w:hAnsi="Times New Roman" w:cs="Times New Roman"/>
                <w:sz w:val="24"/>
                <w:szCs w:val="28"/>
              </w:rPr>
              <w:t>Франция</w:t>
            </w:r>
          </w:p>
        </w:tc>
        <w:tc>
          <w:tcPr>
            <w:tcW w:w="3190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eastAsia="Calibri" w:hAnsi="Times New Roman" w:cs="Times New Roman"/>
                <w:sz w:val="24"/>
                <w:szCs w:val="28"/>
              </w:rPr>
              <w:t>1477</w:t>
            </w:r>
          </w:p>
        </w:tc>
        <w:tc>
          <w:tcPr>
            <w:tcW w:w="3191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hAnsi="Times New Roman" w:cs="Times New Roman"/>
                <w:sz w:val="24"/>
                <w:szCs w:val="28"/>
              </w:rPr>
              <w:t>58 351</w:t>
            </w:r>
          </w:p>
        </w:tc>
      </w:tr>
      <w:tr w:rsidR="009A2AE4" w:rsidRPr="00666EAA" w:rsidTr="009A2AE4">
        <w:tc>
          <w:tcPr>
            <w:tcW w:w="3190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eastAsia="Calibri" w:hAnsi="Times New Roman" w:cs="Times New Roman"/>
                <w:sz w:val="24"/>
                <w:szCs w:val="28"/>
              </w:rPr>
              <w:t>Италия</w:t>
            </w:r>
          </w:p>
        </w:tc>
        <w:tc>
          <w:tcPr>
            <w:tcW w:w="3190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eastAsia="Calibri" w:hAnsi="Times New Roman" w:cs="Times New Roman"/>
                <w:sz w:val="24"/>
                <w:szCs w:val="28"/>
              </w:rPr>
              <w:t>883</w:t>
            </w:r>
          </w:p>
        </w:tc>
        <w:tc>
          <w:tcPr>
            <w:tcW w:w="3191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hAnsi="Times New Roman" w:cs="Times New Roman"/>
                <w:sz w:val="24"/>
                <w:szCs w:val="28"/>
              </w:rPr>
              <w:t>54 013</w:t>
            </w:r>
          </w:p>
        </w:tc>
      </w:tr>
      <w:tr w:rsidR="009A2AE4" w:rsidRPr="00666EAA" w:rsidTr="009A2AE4">
        <w:tc>
          <w:tcPr>
            <w:tcW w:w="3190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eastAsia="Calibri" w:hAnsi="Times New Roman" w:cs="Times New Roman"/>
                <w:sz w:val="24"/>
                <w:szCs w:val="28"/>
              </w:rPr>
              <w:t>Канада</w:t>
            </w:r>
          </w:p>
        </w:tc>
        <w:tc>
          <w:tcPr>
            <w:tcW w:w="3190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eastAsia="Calibri" w:hAnsi="Times New Roman" w:cs="Times New Roman"/>
                <w:sz w:val="24"/>
                <w:szCs w:val="28"/>
              </w:rPr>
              <w:t>850</w:t>
            </w:r>
          </w:p>
        </w:tc>
        <w:tc>
          <w:tcPr>
            <w:tcW w:w="3191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hAnsi="Times New Roman" w:cs="Times New Roman"/>
                <w:sz w:val="24"/>
                <w:szCs w:val="28"/>
              </w:rPr>
              <w:t>80000</w:t>
            </w:r>
          </w:p>
        </w:tc>
      </w:tr>
      <w:tr w:rsidR="009A2AE4" w:rsidRPr="00666EAA" w:rsidTr="009A2AE4">
        <w:tc>
          <w:tcPr>
            <w:tcW w:w="3190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eastAsia="Calibri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3190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eastAsia="Calibri" w:hAnsi="Times New Roman" w:cs="Times New Roman"/>
                <w:sz w:val="24"/>
                <w:szCs w:val="28"/>
              </w:rPr>
              <w:t>607</w:t>
            </w:r>
          </w:p>
        </w:tc>
        <w:tc>
          <w:tcPr>
            <w:tcW w:w="3191" w:type="dxa"/>
          </w:tcPr>
          <w:p w:rsidR="009A2AE4" w:rsidRPr="00666EAA" w:rsidRDefault="009A2AE4" w:rsidP="009A2AE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6EAA">
              <w:rPr>
                <w:rFonts w:ascii="Times New Roman" w:hAnsi="Times New Roman" w:cs="Times New Roman"/>
                <w:sz w:val="24"/>
                <w:szCs w:val="28"/>
              </w:rPr>
              <w:t>22014</w:t>
            </w:r>
          </w:p>
        </w:tc>
      </w:tr>
    </w:tbl>
    <w:p w:rsidR="009A2AE4" w:rsidRDefault="009A2AE4" w:rsidP="009A2AE4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AE4" w:rsidRPr="00666EAA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AA">
        <w:rPr>
          <w:rFonts w:ascii="Times New Roman" w:eastAsia="Calibri" w:hAnsi="Times New Roman" w:cs="Times New Roman"/>
          <w:sz w:val="28"/>
          <w:szCs w:val="28"/>
        </w:rPr>
        <w:t>Одна из главных причин, замедляющих развитие франчайзинга – значительная сумма начальн</w:t>
      </w:r>
      <w:r w:rsidR="009443B4">
        <w:rPr>
          <w:rFonts w:ascii="Times New Roman" w:eastAsia="Calibri" w:hAnsi="Times New Roman" w:cs="Times New Roman"/>
          <w:sz w:val="28"/>
          <w:szCs w:val="28"/>
        </w:rPr>
        <w:t>ых инвестиций</w:t>
      </w:r>
      <w:r w:rsidRPr="00666EAA">
        <w:rPr>
          <w:rFonts w:ascii="Times New Roman" w:eastAsia="Calibri" w:hAnsi="Times New Roman" w:cs="Times New Roman"/>
          <w:sz w:val="28"/>
          <w:szCs w:val="28"/>
        </w:rPr>
        <w:t>: как правило</w:t>
      </w:r>
      <w:r w:rsidR="009443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66EAA">
        <w:rPr>
          <w:rFonts w:ascii="Times New Roman" w:eastAsia="Calibri" w:hAnsi="Times New Roman" w:cs="Times New Roman"/>
          <w:sz w:val="28"/>
          <w:szCs w:val="28"/>
        </w:rPr>
        <w:t>предпринимателю требуется вложить $100 тыс. и более.</w:t>
      </w:r>
    </w:p>
    <w:p w:rsidR="009A2AE4" w:rsidRDefault="009443B4" w:rsidP="009A2AE4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Наиболее востребованными являются</w:t>
      </w:r>
      <w:r w:rsidR="009A2AE4" w:rsidRPr="00666EAA">
        <w:rPr>
          <w:rFonts w:ascii="Times New Roman" w:eastAsia="Calibri" w:hAnsi="Times New Roman" w:cs="Times New Roman"/>
          <w:sz w:val="28"/>
          <w:szCs w:val="28"/>
        </w:rPr>
        <w:t xml:space="preserve"> недорогие франшизы с суммарными инвестициями до 2 млн. рублей. </w:t>
      </w:r>
      <w:r w:rsidR="001A705F">
        <w:rPr>
          <w:rFonts w:ascii="Times New Roman" w:eastAsia="Calibri" w:hAnsi="Times New Roman" w:cs="Times New Roman"/>
          <w:sz w:val="28"/>
          <w:szCs w:val="28"/>
        </w:rPr>
        <w:t>Так, в</w:t>
      </w:r>
      <w:r w:rsidR="009A2AE4" w:rsidRPr="00666EAA">
        <w:rPr>
          <w:rFonts w:ascii="Times New Roman" w:eastAsia="Calibri" w:hAnsi="Times New Roman" w:cs="Times New Roman"/>
          <w:sz w:val="28"/>
          <w:szCs w:val="28"/>
        </w:rPr>
        <w:t xml:space="preserve"> 2012 году повышенным спросом пользовались франшизы сетей булочных-пекарен </w:t>
      </w:r>
      <w:proofErr w:type="spellStart"/>
      <w:r w:rsidR="009A2AE4" w:rsidRPr="00666EAA">
        <w:rPr>
          <w:rFonts w:ascii="Times New Roman" w:eastAsia="Calibri" w:hAnsi="Times New Roman" w:cs="Times New Roman"/>
          <w:sz w:val="28"/>
          <w:szCs w:val="28"/>
        </w:rPr>
        <w:t>Bonape</w:t>
      </w:r>
      <w:proofErr w:type="spellEnd"/>
      <w:r w:rsidR="009A2AE4" w:rsidRPr="00666EAA">
        <w:rPr>
          <w:rFonts w:ascii="Times New Roman" w:eastAsia="Calibri" w:hAnsi="Times New Roman" w:cs="Times New Roman"/>
          <w:sz w:val="28"/>
          <w:szCs w:val="28"/>
        </w:rPr>
        <w:t xml:space="preserve"> (300 тыс. </w:t>
      </w:r>
      <w:proofErr w:type="gramStart"/>
      <w:r w:rsidR="009A2AE4" w:rsidRPr="00666EAA">
        <w:rPr>
          <w:rFonts w:ascii="Times New Roman" w:eastAsia="Calibri" w:hAnsi="Times New Roman" w:cs="Times New Roman"/>
          <w:sz w:val="28"/>
          <w:szCs w:val="28"/>
        </w:rPr>
        <w:t>руб.)</w:t>
      </w:r>
      <w:r w:rsidR="001A705F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1A70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AE4" w:rsidRPr="00666EAA">
        <w:rPr>
          <w:rFonts w:ascii="Times New Roman" w:eastAsia="Calibri" w:hAnsi="Times New Roman" w:cs="Times New Roman"/>
          <w:sz w:val="28"/>
          <w:szCs w:val="28"/>
        </w:rPr>
        <w:t>магазинов футболок «Провокация» (150 тыс. руб.).</w:t>
      </w:r>
    </w:p>
    <w:p w:rsidR="00B93ACA" w:rsidRPr="00666EAA" w:rsidRDefault="00B93ACA" w:rsidP="009A2AE4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AE4" w:rsidRPr="00666EAA" w:rsidRDefault="009A2AE4" w:rsidP="009A2AE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66EA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6218D3" wp14:editId="145F4985">
            <wp:extent cx="5676900" cy="176212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A2AE4" w:rsidRPr="00535B49" w:rsidRDefault="00A76511" w:rsidP="009A2A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535B4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Рисунок  9</w:t>
      </w:r>
      <w:proofErr w:type="gramEnd"/>
      <w:r w:rsidR="00535B49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9A2AE4"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>– Спрос на франшизы на российском рынке по суммарным инвестициям, %</w:t>
      </w:r>
    </w:p>
    <w:p w:rsidR="009A2AE4" w:rsidRPr="00373FF8" w:rsidRDefault="009A2AE4" w:rsidP="009A2A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A2AE4" w:rsidRPr="00666EAA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AA">
        <w:rPr>
          <w:rFonts w:ascii="Times New Roman" w:eastAsia="Calibri" w:hAnsi="Times New Roman" w:cs="Times New Roman"/>
          <w:sz w:val="28"/>
          <w:szCs w:val="28"/>
        </w:rPr>
        <w:t xml:space="preserve">Однако, спрос на подобные франшизы существенно превышает предложение: доля таких проектов составляет приблизительно 15% от общего числа. Тем не менее, к основным тенденциям текущего периода относят увеличение доли бюджетных концепций: для сравнения, в 2010 году она составляла 12%. </w:t>
      </w:r>
    </w:p>
    <w:p w:rsidR="009A2AE4" w:rsidRPr="00666EAA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AA">
        <w:rPr>
          <w:rFonts w:ascii="Times New Roman" w:eastAsia="Calibri" w:hAnsi="Times New Roman" w:cs="Times New Roman"/>
          <w:sz w:val="28"/>
          <w:szCs w:val="28"/>
        </w:rPr>
        <w:t xml:space="preserve">Большинство низкобюджетных </w:t>
      </w:r>
      <w:proofErr w:type="spellStart"/>
      <w:r w:rsidRPr="00666EAA">
        <w:rPr>
          <w:rFonts w:ascii="Times New Roman" w:eastAsia="Calibri" w:hAnsi="Times New Roman" w:cs="Times New Roman"/>
          <w:sz w:val="28"/>
          <w:szCs w:val="28"/>
        </w:rPr>
        <w:t>франчайзинговых</w:t>
      </w:r>
      <w:proofErr w:type="spellEnd"/>
      <w:r w:rsidRPr="00666EAA">
        <w:rPr>
          <w:rFonts w:ascii="Times New Roman" w:eastAsia="Calibri" w:hAnsi="Times New Roman" w:cs="Times New Roman"/>
          <w:sz w:val="28"/>
          <w:szCs w:val="28"/>
        </w:rPr>
        <w:t xml:space="preserve"> предложений созданы региональными компаниями</w:t>
      </w:r>
      <w:r w:rsidR="00A76511">
        <w:rPr>
          <w:rFonts w:ascii="Times New Roman" w:eastAsia="Calibri" w:hAnsi="Times New Roman" w:cs="Times New Roman"/>
          <w:sz w:val="28"/>
          <w:szCs w:val="28"/>
        </w:rPr>
        <w:t>.</w:t>
      </w:r>
      <w:r w:rsidRPr="00666EAA">
        <w:rPr>
          <w:rFonts w:ascii="Times New Roman" w:eastAsia="Calibri" w:hAnsi="Times New Roman" w:cs="Times New Roman"/>
          <w:sz w:val="28"/>
          <w:szCs w:val="28"/>
        </w:rPr>
        <w:t xml:space="preserve"> Недорогие франшизы - </w:t>
      </w:r>
      <w:r w:rsidR="009443B4">
        <w:rPr>
          <w:rFonts w:ascii="Times New Roman" w:eastAsia="Calibri" w:hAnsi="Times New Roman" w:cs="Times New Roman"/>
          <w:sz w:val="28"/>
          <w:szCs w:val="28"/>
        </w:rPr>
        <w:t>как правило</w:t>
      </w:r>
      <w:r w:rsidRPr="00666EAA">
        <w:rPr>
          <w:rFonts w:ascii="Times New Roman" w:eastAsia="Calibri" w:hAnsi="Times New Roman" w:cs="Times New Roman"/>
          <w:sz w:val="28"/>
          <w:szCs w:val="28"/>
        </w:rPr>
        <w:t xml:space="preserve"> бизнесы из сферы услуг и мелкой розницы - образовательные услуги, продажа туристических путевок</w:t>
      </w:r>
      <w:r w:rsidR="00A76511">
        <w:rPr>
          <w:rFonts w:ascii="Times New Roman" w:eastAsia="Calibri" w:hAnsi="Times New Roman" w:cs="Times New Roman"/>
          <w:sz w:val="28"/>
          <w:szCs w:val="28"/>
        </w:rPr>
        <w:t>.</w:t>
      </w:r>
      <w:r w:rsidRPr="00666E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2AE4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 xml:space="preserve">Доля отечественных франшиз на российском рынке составляет </w:t>
      </w:r>
      <w:r w:rsidR="00A76511">
        <w:rPr>
          <w:rFonts w:ascii="Times New Roman" w:hAnsi="Times New Roman" w:cs="Times New Roman"/>
          <w:sz w:val="28"/>
          <w:szCs w:val="28"/>
        </w:rPr>
        <w:t>около</w:t>
      </w:r>
      <w:r w:rsidRPr="00666EAA">
        <w:rPr>
          <w:rFonts w:ascii="Times New Roman" w:hAnsi="Times New Roman" w:cs="Times New Roman"/>
          <w:sz w:val="28"/>
          <w:szCs w:val="28"/>
        </w:rPr>
        <w:t xml:space="preserve"> 66%, а иностранных, </w:t>
      </w:r>
      <w:r w:rsidR="009443B4">
        <w:rPr>
          <w:rFonts w:ascii="Times New Roman" w:hAnsi="Times New Roman" w:cs="Times New Roman"/>
          <w:sz w:val="28"/>
          <w:szCs w:val="28"/>
        </w:rPr>
        <w:t>соответственно – 34% (Рисунок 10</w:t>
      </w:r>
      <w:r w:rsidRPr="00666EAA">
        <w:rPr>
          <w:rFonts w:ascii="Times New Roman" w:hAnsi="Times New Roman" w:cs="Times New Roman"/>
          <w:sz w:val="28"/>
          <w:szCs w:val="28"/>
        </w:rPr>
        <w:t>).</w:t>
      </w:r>
    </w:p>
    <w:p w:rsidR="009A2AE4" w:rsidRPr="00666EAA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AE4" w:rsidRPr="00666EAA" w:rsidRDefault="009A2AE4" w:rsidP="009A2AE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943854" wp14:editId="1F41AD28">
            <wp:extent cx="5953125" cy="1952625"/>
            <wp:effectExtent l="57150" t="57150" r="47625" b="476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A2AE4" w:rsidRPr="00535B49" w:rsidRDefault="009A2AE4" w:rsidP="009A2AE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2AE4" w:rsidRPr="00535B49" w:rsidRDefault="00A76511" w:rsidP="009A2AE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B49">
        <w:rPr>
          <w:rFonts w:ascii="Times New Roman" w:hAnsi="Times New Roman" w:cs="Times New Roman"/>
          <w:b/>
          <w:i/>
          <w:sz w:val="28"/>
          <w:szCs w:val="28"/>
        </w:rPr>
        <w:t>Рисунок 10</w:t>
      </w:r>
      <w:r w:rsidR="00535B4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A2AE4" w:rsidRPr="00535B49">
        <w:rPr>
          <w:rFonts w:ascii="Times New Roman" w:hAnsi="Times New Roman" w:cs="Times New Roman"/>
          <w:b/>
          <w:i/>
          <w:sz w:val="28"/>
          <w:szCs w:val="28"/>
        </w:rPr>
        <w:t xml:space="preserve"> – Соотношение отечественных и зарубежных франшиз на российском рынке, %</w:t>
      </w:r>
    </w:p>
    <w:p w:rsidR="009A2AE4" w:rsidRPr="00C31E2B" w:rsidRDefault="009A2AE4" w:rsidP="009A2AE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AE4" w:rsidRDefault="009A2AE4" w:rsidP="009A2A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 xml:space="preserve">Преобладание национальных концепций характерно и для зарубежных рынков, о чем свидетельствуют данные Европейской Ассоциации Франчайзинга (Рисунок </w:t>
      </w:r>
      <w:r w:rsidR="00A76511">
        <w:rPr>
          <w:rFonts w:ascii="Times New Roman" w:hAnsi="Times New Roman" w:cs="Times New Roman"/>
          <w:sz w:val="28"/>
          <w:szCs w:val="28"/>
        </w:rPr>
        <w:t>11).</w:t>
      </w:r>
    </w:p>
    <w:p w:rsidR="009A2AE4" w:rsidRPr="00C31E2B" w:rsidRDefault="009A2AE4" w:rsidP="009A2A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AE4" w:rsidRPr="00666EAA" w:rsidRDefault="009A2AE4" w:rsidP="009A2AE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9CABAD" wp14:editId="5672E503">
            <wp:extent cx="5953125" cy="276225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A2AE4" w:rsidRDefault="009A2AE4" w:rsidP="009A2AE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AE4" w:rsidRPr="00535B49" w:rsidRDefault="00A76511" w:rsidP="00B93AC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B49">
        <w:rPr>
          <w:rFonts w:ascii="Times New Roman" w:hAnsi="Times New Roman" w:cs="Times New Roman"/>
          <w:b/>
          <w:i/>
          <w:sz w:val="28"/>
          <w:szCs w:val="28"/>
        </w:rPr>
        <w:t>Рисунок 11</w:t>
      </w:r>
      <w:r w:rsidR="00535B4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A2AE4" w:rsidRPr="00535B49">
        <w:rPr>
          <w:rFonts w:ascii="Times New Roman" w:hAnsi="Times New Roman" w:cs="Times New Roman"/>
          <w:b/>
          <w:i/>
          <w:sz w:val="28"/>
          <w:szCs w:val="28"/>
        </w:rPr>
        <w:t xml:space="preserve"> – Соотношение отечественных</w:t>
      </w:r>
      <w:r w:rsidR="00B93ACA" w:rsidRPr="00535B49">
        <w:rPr>
          <w:rFonts w:ascii="Times New Roman" w:hAnsi="Times New Roman" w:cs="Times New Roman"/>
          <w:b/>
          <w:i/>
          <w:sz w:val="28"/>
          <w:szCs w:val="28"/>
        </w:rPr>
        <w:t xml:space="preserve"> и зарубежных франшиз в мире, %</w:t>
      </w:r>
    </w:p>
    <w:p w:rsidR="009A2AE4" w:rsidRPr="00666EAA" w:rsidRDefault="009A2AE4" w:rsidP="00A76511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 xml:space="preserve">Развитие российских франшиз и некоторое снижение доли иностранных </w:t>
      </w:r>
      <w:r w:rsidR="00A76511">
        <w:rPr>
          <w:rFonts w:ascii="Times New Roman" w:hAnsi="Times New Roman" w:cs="Times New Roman"/>
          <w:sz w:val="28"/>
          <w:szCs w:val="28"/>
        </w:rPr>
        <w:t>– национализация российского рынка франчайзинга -</w:t>
      </w:r>
      <w:r w:rsidRPr="00666EAA">
        <w:rPr>
          <w:rFonts w:ascii="Times New Roman" w:hAnsi="Times New Roman" w:cs="Times New Roman"/>
          <w:sz w:val="28"/>
          <w:szCs w:val="28"/>
        </w:rPr>
        <w:t xml:space="preserve"> в</w:t>
      </w:r>
      <w:r w:rsidR="009443B4">
        <w:rPr>
          <w:rFonts w:ascii="Times New Roman" w:hAnsi="Times New Roman" w:cs="Times New Roman"/>
          <w:sz w:val="28"/>
          <w:szCs w:val="28"/>
        </w:rPr>
        <w:t>ыраженная</w:t>
      </w:r>
      <w:r w:rsidRPr="00666EAA">
        <w:rPr>
          <w:rFonts w:ascii="Times New Roman" w:hAnsi="Times New Roman" w:cs="Times New Roman"/>
          <w:sz w:val="28"/>
          <w:szCs w:val="28"/>
        </w:rPr>
        <w:t xml:space="preserve"> тенденция последних лет. </w:t>
      </w:r>
    </w:p>
    <w:p w:rsidR="009A2AE4" w:rsidRPr="00666EAA" w:rsidRDefault="00A76511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оссийские бренды </w:t>
      </w:r>
      <w:r>
        <w:rPr>
          <w:rFonts w:ascii="Times New Roman" w:hAnsi="Times New Roman" w:cs="Times New Roman"/>
          <w:sz w:val="28"/>
          <w:szCs w:val="28"/>
        </w:rPr>
        <w:t xml:space="preserve">динамично развиваются не только внутри страны, но и </w:t>
      </w:r>
      <w:r w:rsidR="00CC00E8">
        <w:rPr>
          <w:rFonts w:ascii="Times New Roman" w:hAnsi="Times New Roman" w:cs="Times New Roman"/>
          <w:sz w:val="28"/>
          <w:szCs w:val="28"/>
        </w:rPr>
        <w:t>выходят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 за пределы России. </w:t>
      </w:r>
      <w:r>
        <w:rPr>
          <w:rFonts w:ascii="Times New Roman" w:hAnsi="Times New Roman" w:cs="Times New Roman"/>
          <w:sz w:val="28"/>
          <w:szCs w:val="28"/>
        </w:rPr>
        <w:t>Так, сеть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 «Шоколадница» </w:t>
      </w:r>
      <w:r>
        <w:rPr>
          <w:rFonts w:ascii="Times New Roman" w:hAnsi="Times New Roman" w:cs="Times New Roman"/>
          <w:sz w:val="28"/>
          <w:szCs w:val="28"/>
        </w:rPr>
        <w:t>прогнозирует освоить рынок Юго- Восточной Азии</w:t>
      </w:r>
      <w:r w:rsidR="009A2AE4" w:rsidRPr="00666EAA">
        <w:rPr>
          <w:rFonts w:ascii="Times New Roman" w:hAnsi="Times New Roman" w:cs="Times New Roman"/>
          <w:sz w:val="28"/>
          <w:szCs w:val="28"/>
        </w:rPr>
        <w:t>.</w:t>
      </w:r>
    </w:p>
    <w:p w:rsidR="009A2AE4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AA">
        <w:rPr>
          <w:rFonts w:ascii="Times New Roman" w:eastAsia="Calibri" w:hAnsi="Times New Roman" w:cs="Times New Roman"/>
          <w:sz w:val="28"/>
          <w:szCs w:val="28"/>
        </w:rPr>
        <w:t xml:space="preserve">В целом, развитие франчайзинга в России </w:t>
      </w:r>
      <w:r w:rsidR="00A76511">
        <w:rPr>
          <w:rFonts w:ascii="Times New Roman" w:eastAsia="Calibri" w:hAnsi="Times New Roman" w:cs="Times New Roman"/>
          <w:sz w:val="28"/>
          <w:szCs w:val="28"/>
        </w:rPr>
        <w:t>регионально неоднородно (Рисунок 12</w:t>
      </w:r>
      <w:r w:rsidRPr="00666EA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A2AE4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AE4" w:rsidRPr="00666EAA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AE4" w:rsidRPr="00666EAA" w:rsidRDefault="009A2AE4" w:rsidP="009A2AE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AA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10C883C7" wp14:editId="77741B0B">
            <wp:extent cx="5915025" cy="20955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A2AE4" w:rsidRDefault="009A2AE4" w:rsidP="009A2AE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2AE4" w:rsidRPr="00535B49" w:rsidRDefault="00A76511" w:rsidP="009A2AE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Рисунок </w:t>
      </w:r>
      <w:proofErr w:type="gramStart"/>
      <w:r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>12</w:t>
      </w:r>
      <w:r w:rsidR="00CC00E8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9A2AE4"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>―</w:t>
      </w:r>
      <w:proofErr w:type="gramEnd"/>
      <w:r w:rsidR="009A2AE4"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Региональная структура </w:t>
      </w:r>
      <w:proofErr w:type="spellStart"/>
      <w:r w:rsidR="009A2AE4"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>франчайзинговых</w:t>
      </w:r>
      <w:proofErr w:type="spellEnd"/>
      <w:r w:rsidR="009A2AE4"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точек в России </w:t>
      </w:r>
    </w:p>
    <w:p w:rsidR="00CC56DC" w:rsidRDefault="009A2AE4" w:rsidP="00CC56DC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Увеличение числа региональных франшиз – </w:t>
      </w:r>
      <w:r w:rsidR="00A76511">
        <w:rPr>
          <w:rFonts w:ascii="Times New Roman" w:eastAsia="Calibri" w:hAnsi="Times New Roman" w:cs="Times New Roman"/>
          <w:sz w:val="28"/>
          <w:szCs w:val="28"/>
        </w:rPr>
        <w:t xml:space="preserve">яркая тенденция последних лет. </w:t>
      </w:r>
      <w:r w:rsidRPr="00666EAA">
        <w:rPr>
          <w:rFonts w:ascii="Times New Roman" w:eastAsia="Calibri" w:hAnsi="Times New Roman" w:cs="Times New Roman"/>
          <w:sz w:val="28"/>
          <w:szCs w:val="28"/>
        </w:rPr>
        <w:t xml:space="preserve">4 года назад доля московских </w:t>
      </w:r>
      <w:proofErr w:type="spellStart"/>
      <w:r w:rsidRPr="00666EAA">
        <w:rPr>
          <w:rFonts w:ascii="Times New Roman" w:eastAsia="Calibri" w:hAnsi="Times New Roman" w:cs="Times New Roman"/>
          <w:sz w:val="28"/>
          <w:szCs w:val="28"/>
        </w:rPr>
        <w:t>фран</w:t>
      </w:r>
      <w:r w:rsidR="00A76511">
        <w:rPr>
          <w:rFonts w:ascii="Times New Roman" w:eastAsia="Calibri" w:hAnsi="Times New Roman" w:cs="Times New Roman"/>
          <w:sz w:val="28"/>
          <w:szCs w:val="28"/>
        </w:rPr>
        <w:t>чайзеров</w:t>
      </w:r>
      <w:proofErr w:type="spellEnd"/>
      <w:r w:rsidR="00A76511">
        <w:rPr>
          <w:rFonts w:ascii="Times New Roman" w:eastAsia="Calibri" w:hAnsi="Times New Roman" w:cs="Times New Roman"/>
          <w:sz w:val="28"/>
          <w:szCs w:val="28"/>
        </w:rPr>
        <w:t xml:space="preserve"> составляла почти 90%</w:t>
      </w:r>
      <w:r w:rsidRPr="00666EAA">
        <w:rPr>
          <w:rFonts w:ascii="Times New Roman" w:eastAsia="Calibri" w:hAnsi="Times New Roman" w:cs="Times New Roman"/>
          <w:sz w:val="28"/>
          <w:szCs w:val="28"/>
        </w:rPr>
        <w:t xml:space="preserve">, а региональные </w:t>
      </w:r>
      <w:proofErr w:type="spellStart"/>
      <w:r w:rsidRPr="00666EAA">
        <w:rPr>
          <w:rFonts w:ascii="Times New Roman" w:eastAsia="Calibri" w:hAnsi="Times New Roman" w:cs="Times New Roman"/>
          <w:sz w:val="28"/>
          <w:szCs w:val="28"/>
        </w:rPr>
        <w:t>франчайзеры</w:t>
      </w:r>
      <w:proofErr w:type="spellEnd"/>
      <w:r w:rsidRPr="00666EAA">
        <w:rPr>
          <w:rFonts w:ascii="Times New Roman" w:eastAsia="Calibri" w:hAnsi="Times New Roman" w:cs="Times New Roman"/>
          <w:sz w:val="28"/>
          <w:szCs w:val="28"/>
        </w:rPr>
        <w:t xml:space="preserve"> присутствовали лишь в городах</w:t>
      </w:r>
      <w:r w:rsidR="00CC0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6EAA">
        <w:rPr>
          <w:rFonts w:ascii="Times New Roman" w:eastAsia="Calibri" w:hAnsi="Times New Roman" w:cs="Times New Roman"/>
          <w:sz w:val="28"/>
          <w:szCs w:val="28"/>
        </w:rPr>
        <w:t>-</w:t>
      </w:r>
      <w:r w:rsidR="00CC0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6EAA">
        <w:rPr>
          <w:rFonts w:ascii="Times New Roman" w:eastAsia="Calibri" w:hAnsi="Times New Roman" w:cs="Times New Roman"/>
          <w:sz w:val="28"/>
          <w:szCs w:val="28"/>
        </w:rPr>
        <w:t>миллионниках</w:t>
      </w:r>
      <w:proofErr w:type="spellEnd"/>
      <w:r w:rsidRPr="00666EAA">
        <w:rPr>
          <w:rFonts w:ascii="Times New Roman" w:eastAsia="Calibri" w:hAnsi="Times New Roman" w:cs="Times New Roman"/>
          <w:sz w:val="28"/>
          <w:szCs w:val="28"/>
        </w:rPr>
        <w:t xml:space="preserve">, то к началу 2013 года регионы значительно активизировались, а столица </w:t>
      </w:r>
      <w:r w:rsidR="00CC00E8">
        <w:rPr>
          <w:rFonts w:ascii="Times New Roman" w:eastAsia="Calibri" w:hAnsi="Times New Roman" w:cs="Times New Roman"/>
          <w:sz w:val="28"/>
          <w:szCs w:val="28"/>
        </w:rPr>
        <w:t xml:space="preserve">уступает, </w:t>
      </w:r>
      <w:r w:rsidRPr="00666EAA"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 w:rsidR="00A76511">
        <w:rPr>
          <w:rFonts w:ascii="Times New Roman" w:eastAsia="Calibri" w:hAnsi="Times New Roman" w:cs="Times New Roman"/>
          <w:sz w:val="28"/>
          <w:szCs w:val="28"/>
        </w:rPr>
        <w:t>ее доля составляет -</w:t>
      </w:r>
      <w:r w:rsidR="00CC56DC">
        <w:rPr>
          <w:rFonts w:ascii="Times New Roman" w:eastAsia="Calibri" w:hAnsi="Times New Roman" w:cs="Times New Roman"/>
          <w:sz w:val="28"/>
          <w:szCs w:val="28"/>
        </w:rPr>
        <w:t xml:space="preserve"> 72%.</w:t>
      </w:r>
    </w:p>
    <w:p w:rsidR="009A2AE4" w:rsidRPr="00CC56DC" w:rsidRDefault="009A2AE4" w:rsidP="00CC56DC">
      <w:pPr>
        <w:widowControl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" w:hAnsi="Times"/>
          <w:sz w:val="28"/>
          <w:szCs w:val="28"/>
          <w:lang w:val="ru"/>
        </w:rPr>
        <w:t xml:space="preserve">       </w:t>
      </w:r>
      <w:r>
        <w:rPr>
          <w:rFonts w:ascii="Times" w:hAnsi="Times"/>
          <w:sz w:val="28"/>
          <w:szCs w:val="28"/>
        </w:rPr>
        <w:t xml:space="preserve"> В </w:t>
      </w:r>
      <w:r w:rsidR="00116E13">
        <w:rPr>
          <w:rFonts w:ascii="Times" w:hAnsi="Times"/>
          <w:sz w:val="28"/>
          <w:szCs w:val="28"/>
        </w:rPr>
        <w:t xml:space="preserve">российском </w:t>
      </w:r>
      <w:r>
        <w:rPr>
          <w:rFonts w:ascii="Times" w:hAnsi="Times"/>
          <w:sz w:val="28"/>
          <w:szCs w:val="28"/>
        </w:rPr>
        <w:t xml:space="preserve">торговом секторе </w:t>
      </w:r>
      <w:r w:rsidRPr="00666EAA">
        <w:rPr>
          <w:rFonts w:ascii="Times" w:hAnsi="Times"/>
          <w:sz w:val="28"/>
          <w:szCs w:val="28"/>
        </w:rPr>
        <w:t>преобладают франшизы фирменных магазинов одежды</w:t>
      </w:r>
      <w:r w:rsidR="00CC56DC">
        <w:rPr>
          <w:rFonts w:ascii="Times" w:hAnsi="Times"/>
          <w:sz w:val="28"/>
          <w:szCs w:val="28"/>
        </w:rPr>
        <w:t>.</w:t>
      </w:r>
      <w:r w:rsidRPr="00666EAA">
        <w:rPr>
          <w:rFonts w:ascii="Times" w:hAnsi="Times"/>
          <w:sz w:val="28"/>
          <w:szCs w:val="28"/>
        </w:rPr>
        <w:t xml:space="preserve"> Сегодня в России </w:t>
      </w:r>
      <w:r w:rsidR="00CC56DC">
        <w:rPr>
          <w:rFonts w:ascii="Times" w:hAnsi="Times"/>
          <w:sz w:val="28"/>
          <w:szCs w:val="28"/>
        </w:rPr>
        <w:t xml:space="preserve">эти </w:t>
      </w:r>
      <w:r w:rsidRPr="00666EAA">
        <w:rPr>
          <w:rFonts w:ascii="Times" w:hAnsi="Times"/>
          <w:sz w:val="28"/>
          <w:szCs w:val="28"/>
        </w:rPr>
        <w:t xml:space="preserve">сетевые компании предлагают более 200 </w:t>
      </w:r>
      <w:proofErr w:type="spellStart"/>
      <w:r w:rsidRPr="00666EAA">
        <w:rPr>
          <w:rFonts w:ascii="Times" w:hAnsi="Times"/>
          <w:sz w:val="28"/>
          <w:szCs w:val="28"/>
        </w:rPr>
        <w:t>франчайзинговых</w:t>
      </w:r>
      <w:proofErr w:type="spellEnd"/>
      <w:r w:rsidRPr="00666EAA">
        <w:rPr>
          <w:rFonts w:ascii="Times" w:hAnsi="Times"/>
          <w:sz w:val="28"/>
          <w:szCs w:val="28"/>
        </w:rPr>
        <w:t xml:space="preserve"> концепций</w:t>
      </w:r>
      <w:r w:rsidR="00CC56DC">
        <w:rPr>
          <w:rFonts w:ascii="Times" w:hAnsi="Times"/>
          <w:sz w:val="28"/>
          <w:szCs w:val="28"/>
        </w:rPr>
        <w:t xml:space="preserve">. </w:t>
      </w:r>
      <w:r w:rsidRPr="00666EAA">
        <w:rPr>
          <w:rFonts w:ascii="Times" w:hAnsi="Times"/>
          <w:sz w:val="28"/>
          <w:szCs w:val="28"/>
        </w:rPr>
        <w:t>Франшизы данной сферы характеризуются</w:t>
      </w:r>
      <w:r w:rsidR="00CC56DC">
        <w:rPr>
          <w:rFonts w:ascii="Times" w:hAnsi="Times"/>
          <w:sz w:val="28"/>
          <w:szCs w:val="28"/>
        </w:rPr>
        <w:t xml:space="preserve"> отсутствием паушального взноса и р</w:t>
      </w:r>
      <w:r w:rsidRPr="00666EAA">
        <w:rPr>
          <w:rFonts w:ascii="Times" w:hAnsi="Times"/>
          <w:sz w:val="28"/>
          <w:szCs w:val="28"/>
        </w:rPr>
        <w:t>оялти</w:t>
      </w:r>
      <w:r w:rsidR="00CC56DC">
        <w:rPr>
          <w:rFonts w:ascii="Times" w:hAnsi="Times"/>
          <w:sz w:val="28"/>
          <w:szCs w:val="28"/>
        </w:rPr>
        <w:t>. П</w:t>
      </w:r>
      <w:r w:rsidRPr="00666EAA">
        <w:rPr>
          <w:rFonts w:ascii="Times" w:hAnsi="Times"/>
          <w:sz w:val="28"/>
          <w:szCs w:val="28"/>
        </w:rPr>
        <w:t xml:space="preserve">роизводители получают прибыль за счет оптовых поставок одежды в </w:t>
      </w:r>
      <w:r w:rsidR="00CC56DC">
        <w:rPr>
          <w:rFonts w:ascii="Times" w:hAnsi="Times"/>
          <w:sz w:val="28"/>
          <w:szCs w:val="28"/>
        </w:rPr>
        <w:t>магазины</w:t>
      </w:r>
      <w:r w:rsidRPr="00666EAA">
        <w:rPr>
          <w:rFonts w:ascii="Times" w:hAnsi="Times"/>
          <w:sz w:val="28"/>
          <w:szCs w:val="28"/>
        </w:rPr>
        <w:t xml:space="preserve"> </w:t>
      </w:r>
      <w:proofErr w:type="spellStart"/>
      <w:r w:rsidRPr="00666EAA">
        <w:rPr>
          <w:rFonts w:ascii="Times" w:hAnsi="Times"/>
          <w:sz w:val="28"/>
          <w:szCs w:val="28"/>
        </w:rPr>
        <w:t>франчайзи</w:t>
      </w:r>
      <w:proofErr w:type="spellEnd"/>
      <w:r w:rsidRPr="00666EAA">
        <w:rPr>
          <w:rFonts w:ascii="Times" w:hAnsi="Times"/>
          <w:sz w:val="28"/>
          <w:szCs w:val="28"/>
        </w:rPr>
        <w:t>.</w:t>
      </w:r>
    </w:p>
    <w:p w:rsidR="009A2AE4" w:rsidRPr="00C832CA" w:rsidRDefault="009A2AE4" w:rsidP="009A2AE4">
      <w:pPr>
        <w:keepNext/>
        <w:keepLines/>
        <w:widowControl w:val="0"/>
        <w:spacing w:after="0" w:line="312" w:lineRule="auto"/>
        <w:jc w:val="both"/>
        <w:outlineLvl w:val="0"/>
        <w:rPr>
          <w:rFonts w:ascii="Times" w:hAnsi="Times"/>
          <w:sz w:val="28"/>
          <w:szCs w:val="28"/>
        </w:rPr>
      </w:pPr>
    </w:p>
    <w:p w:rsidR="00CC56DC" w:rsidRDefault="00CC56DC" w:rsidP="009A2AE4">
      <w:pPr>
        <w:widowControl w:val="0"/>
        <w:spacing w:after="0" w:line="360" w:lineRule="auto"/>
        <w:jc w:val="center"/>
        <w:rPr>
          <w:rFonts w:ascii="Times" w:hAnsi="Times"/>
          <w:b/>
          <w:sz w:val="28"/>
          <w:szCs w:val="28"/>
        </w:rPr>
      </w:pPr>
    </w:p>
    <w:p w:rsidR="00CC56DC" w:rsidRDefault="00CC56DC" w:rsidP="009A2AE4">
      <w:pPr>
        <w:widowControl w:val="0"/>
        <w:spacing w:after="0" w:line="360" w:lineRule="auto"/>
        <w:jc w:val="center"/>
        <w:rPr>
          <w:rFonts w:ascii="Times" w:hAnsi="Times"/>
          <w:b/>
          <w:sz w:val="28"/>
          <w:szCs w:val="28"/>
        </w:rPr>
      </w:pPr>
    </w:p>
    <w:p w:rsidR="00CC56DC" w:rsidRDefault="00CC56DC" w:rsidP="009A2AE4">
      <w:pPr>
        <w:widowControl w:val="0"/>
        <w:spacing w:after="0" w:line="360" w:lineRule="auto"/>
        <w:jc w:val="center"/>
        <w:rPr>
          <w:rFonts w:ascii="Times" w:hAnsi="Times"/>
          <w:b/>
          <w:sz w:val="28"/>
          <w:szCs w:val="28"/>
        </w:rPr>
      </w:pPr>
    </w:p>
    <w:p w:rsidR="00CC56DC" w:rsidRDefault="00CC56DC" w:rsidP="009A2AE4">
      <w:pPr>
        <w:widowControl w:val="0"/>
        <w:spacing w:after="0" w:line="360" w:lineRule="auto"/>
        <w:jc w:val="center"/>
        <w:rPr>
          <w:rFonts w:ascii="Times" w:hAnsi="Times"/>
          <w:b/>
          <w:sz w:val="28"/>
          <w:szCs w:val="28"/>
        </w:rPr>
      </w:pPr>
    </w:p>
    <w:p w:rsidR="00116E13" w:rsidRDefault="00116E13" w:rsidP="009A2AE4">
      <w:pPr>
        <w:widowControl w:val="0"/>
        <w:spacing w:after="0" w:line="360" w:lineRule="auto"/>
        <w:jc w:val="center"/>
        <w:rPr>
          <w:rFonts w:ascii="Times" w:hAnsi="Times"/>
          <w:b/>
          <w:sz w:val="28"/>
          <w:szCs w:val="28"/>
        </w:rPr>
      </w:pPr>
    </w:p>
    <w:p w:rsidR="009A2AE4" w:rsidRPr="00666EAA" w:rsidRDefault="009A2AE4" w:rsidP="009A2AE4">
      <w:pPr>
        <w:widowControl w:val="0"/>
        <w:spacing w:after="0" w:line="360" w:lineRule="auto"/>
        <w:jc w:val="center"/>
        <w:rPr>
          <w:rFonts w:ascii="Times" w:hAnsi="Times"/>
          <w:b/>
          <w:sz w:val="28"/>
          <w:szCs w:val="28"/>
        </w:rPr>
      </w:pPr>
      <w:r w:rsidRPr="00666EAA">
        <w:rPr>
          <w:rFonts w:ascii="Times" w:hAnsi="Times"/>
          <w:b/>
          <w:sz w:val="28"/>
          <w:szCs w:val="28"/>
        </w:rPr>
        <w:t>Сфера розничной торговли</w:t>
      </w:r>
    </w:p>
    <w:p w:rsidR="009A2AE4" w:rsidRPr="00666EAA" w:rsidRDefault="009A2AE4" w:rsidP="009A2AE4">
      <w:pPr>
        <w:widowControl w:val="0"/>
        <w:spacing w:after="0" w:line="360" w:lineRule="auto"/>
        <w:jc w:val="both"/>
        <w:rPr>
          <w:rFonts w:ascii="Times" w:hAnsi="Times"/>
          <w:sz w:val="28"/>
          <w:szCs w:val="28"/>
        </w:rPr>
      </w:pPr>
      <w:r w:rsidRPr="00666EAA">
        <w:rPr>
          <w:rFonts w:ascii="Times" w:hAnsi="Times"/>
          <w:noProof/>
          <w:sz w:val="28"/>
          <w:szCs w:val="28"/>
          <w:lang w:eastAsia="ru-RU"/>
        </w:rPr>
        <w:drawing>
          <wp:inline distT="0" distB="0" distL="0" distR="0" wp14:anchorId="08725EA9" wp14:editId="26A61EEF">
            <wp:extent cx="5940425" cy="3115945"/>
            <wp:effectExtent l="0" t="0" r="3175" b="825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A2AE4" w:rsidRDefault="009A2AE4" w:rsidP="009A2AE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2AE4" w:rsidRPr="00535B49" w:rsidRDefault="00CC56DC" w:rsidP="009A2AE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>Рисунок 13</w:t>
      </w:r>
      <w:r w:rsidR="00116E13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9A2AE4"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Структура франчайзинга в розничной торговле РФ</w:t>
      </w:r>
    </w:p>
    <w:p w:rsidR="009A2AE4" w:rsidRDefault="009A2AE4" w:rsidP="009A2AE4">
      <w:pPr>
        <w:widowControl w:val="0"/>
        <w:spacing w:after="0" w:line="360" w:lineRule="auto"/>
        <w:ind w:firstLine="709"/>
        <w:jc w:val="both"/>
        <w:rPr>
          <w:rFonts w:ascii="Times" w:hAnsi="Times"/>
          <w:sz w:val="28"/>
          <w:szCs w:val="28"/>
        </w:rPr>
      </w:pPr>
    </w:p>
    <w:p w:rsidR="009A2AE4" w:rsidRPr="00666EAA" w:rsidRDefault="00CC56DC" w:rsidP="009A2AE4">
      <w:pPr>
        <w:widowControl w:val="0"/>
        <w:spacing w:after="0" w:line="312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Д</w:t>
      </w:r>
      <w:r w:rsidR="009A2AE4" w:rsidRPr="00666EAA">
        <w:rPr>
          <w:rFonts w:ascii="Times" w:hAnsi="Times"/>
          <w:sz w:val="28"/>
          <w:szCs w:val="28"/>
        </w:rPr>
        <w:t xml:space="preserve">ля независимых предпринимателей, открытие магазина по франшизе - </w:t>
      </w:r>
      <w:r w:rsidR="009A2AE4" w:rsidRPr="00666EAA">
        <w:rPr>
          <w:rFonts w:ascii="Times" w:hAnsi="Times"/>
          <w:sz w:val="28"/>
          <w:szCs w:val="28"/>
        </w:rPr>
        <w:lastRenderedPageBreak/>
        <w:t xml:space="preserve">возможность организовать </w:t>
      </w:r>
      <w:r w:rsidR="00116E13">
        <w:rPr>
          <w:rFonts w:ascii="Times" w:hAnsi="Times"/>
          <w:sz w:val="28"/>
          <w:szCs w:val="28"/>
        </w:rPr>
        <w:t>рентабельный</w:t>
      </w:r>
      <w:r w:rsidR="009A2AE4" w:rsidRPr="00666EAA">
        <w:rPr>
          <w:rFonts w:ascii="Times" w:hAnsi="Times"/>
          <w:sz w:val="28"/>
          <w:szCs w:val="28"/>
        </w:rPr>
        <w:t xml:space="preserve"> бизнес под </w:t>
      </w:r>
      <w:r>
        <w:rPr>
          <w:rFonts w:ascii="Times" w:hAnsi="Times"/>
          <w:sz w:val="28"/>
          <w:szCs w:val="28"/>
        </w:rPr>
        <w:t xml:space="preserve">началом </w:t>
      </w:r>
      <w:r w:rsidR="009A2AE4" w:rsidRPr="00666EAA">
        <w:rPr>
          <w:rFonts w:ascii="Times" w:hAnsi="Times"/>
          <w:sz w:val="28"/>
          <w:szCs w:val="28"/>
        </w:rPr>
        <w:t xml:space="preserve">профессионалов при невысоких </w:t>
      </w:r>
      <w:r>
        <w:rPr>
          <w:rFonts w:ascii="Times" w:hAnsi="Times"/>
          <w:sz w:val="28"/>
          <w:szCs w:val="28"/>
        </w:rPr>
        <w:t>затратах</w:t>
      </w:r>
      <w:r w:rsidR="009A2AE4" w:rsidRPr="00666EAA">
        <w:rPr>
          <w:rFonts w:ascii="Times" w:hAnsi="Times"/>
          <w:sz w:val="28"/>
          <w:szCs w:val="28"/>
        </w:rPr>
        <w:t>.</w:t>
      </w:r>
    </w:p>
    <w:p w:rsidR="009A2AE4" w:rsidRDefault="00CC56DC" w:rsidP="009A2AE4">
      <w:pPr>
        <w:widowControl w:val="0"/>
        <w:spacing w:after="0" w:line="312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Российские</w:t>
      </w:r>
      <w:r w:rsidR="009A2AE4" w:rsidRPr="00666EAA">
        <w:rPr>
          <w:rFonts w:ascii="Times" w:hAnsi="Times"/>
          <w:sz w:val="28"/>
          <w:szCs w:val="28"/>
        </w:rPr>
        <w:t xml:space="preserve"> </w:t>
      </w:r>
      <w:proofErr w:type="spellStart"/>
      <w:r w:rsidR="009A2AE4" w:rsidRPr="00666EAA">
        <w:rPr>
          <w:rFonts w:ascii="Times" w:hAnsi="Times"/>
          <w:sz w:val="28"/>
          <w:szCs w:val="28"/>
        </w:rPr>
        <w:t>франчайзеры</w:t>
      </w:r>
      <w:proofErr w:type="spellEnd"/>
      <w:r w:rsidR="009A2AE4" w:rsidRPr="00666EAA">
        <w:rPr>
          <w:rFonts w:ascii="Times" w:hAnsi="Times"/>
          <w:sz w:val="28"/>
          <w:szCs w:val="28"/>
        </w:rPr>
        <w:t xml:space="preserve"> контролируют значительную долю</w:t>
      </w:r>
      <w:r w:rsidR="00116E13">
        <w:rPr>
          <w:rFonts w:ascii="Times" w:hAnsi="Times"/>
          <w:sz w:val="28"/>
          <w:szCs w:val="28"/>
        </w:rPr>
        <w:t xml:space="preserve"> российского</w:t>
      </w:r>
      <w:r w:rsidR="009A2AE4" w:rsidRPr="00666EAA">
        <w:rPr>
          <w:rFonts w:ascii="Times" w:hAnsi="Times"/>
          <w:sz w:val="28"/>
          <w:szCs w:val="28"/>
        </w:rPr>
        <w:t xml:space="preserve"> рынка, </w:t>
      </w:r>
      <w:r>
        <w:rPr>
          <w:rFonts w:ascii="Times" w:hAnsi="Times"/>
          <w:sz w:val="28"/>
          <w:szCs w:val="28"/>
        </w:rPr>
        <w:t>занимая 42% (рисунок 14)</w:t>
      </w:r>
      <w:r w:rsidR="009A2AE4" w:rsidRPr="00666EAA">
        <w:rPr>
          <w:rFonts w:ascii="Times" w:hAnsi="Times"/>
          <w:sz w:val="28"/>
          <w:szCs w:val="28"/>
        </w:rPr>
        <w:t xml:space="preserve">. </w:t>
      </w:r>
    </w:p>
    <w:p w:rsidR="009A2AE4" w:rsidRPr="00666EAA" w:rsidRDefault="009A2AE4" w:rsidP="009A2AE4">
      <w:pPr>
        <w:widowControl w:val="0"/>
        <w:spacing w:after="0" w:line="312" w:lineRule="auto"/>
        <w:ind w:firstLine="709"/>
        <w:jc w:val="both"/>
        <w:rPr>
          <w:rFonts w:ascii="Times" w:hAnsi="Times"/>
          <w:sz w:val="28"/>
          <w:szCs w:val="28"/>
        </w:rPr>
      </w:pPr>
    </w:p>
    <w:p w:rsidR="009A2AE4" w:rsidRPr="00666EAA" w:rsidRDefault="009A2AE4" w:rsidP="009A2AE4">
      <w:pPr>
        <w:widowControl w:val="0"/>
        <w:spacing w:after="0" w:line="360" w:lineRule="auto"/>
        <w:jc w:val="both"/>
        <w:rPr>
          <w:rFonts w:ascii="Times" w:hAnsi="Times"/>
          <w:sz w:val="28"/>
          <w:szCs w:val="28"/>
          <w:lang w:val="en-US"/>
        </w:rPr>
      </w:pPr>
      <w:r w:rsidRPr="00666EAA">
        <w:rPr>
          <w:rFonts w:ascii="Times" w:hAnsi="Times"/>
          <w:noProof/>
          <w:sz w:val="28"/>
          <w:szCs w:val="28"/>
          <w:lang w:eastAsia="ru-RU"/>
        </w:rPr>
        <w:drawing>
          <wp:inline distT="0" distB="0" distL="0" distR="0" wp14:anchorId="4DFD90BD" wp14:editId="13A67B4E">
            <wp:extent cx="5962650" cy="1752600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A2AE4" w:rsidRDefault="009A2AE4" w:rsidP="009A2AE4">
      <w:pPr>
        <w:widowControl w:val="0"/>
        <w:spacing w:after="0" w:line="360" w:lineRule="auto"/>
        <w:jc w:val="both"/>
        <w:rPr>
          <w:rFonts w:ascii="Times" w:hAnsi="Times"/>
          <w:b/>
          <w:sz w:val="28"/>
          <w:szCs w:val="28"/>
        </w:rPr>
      </w:pPr>
    </w:p>
    <w:p w:rsidR="009A2AE4" w:rsidRPr="00535B49" w:rsidRDefault="009A2AE4" w:rsidP="009A2AE4">
      <w:pPr>
        <w:widowControl w:val="0"/>
        <w:spacing w:after="0" w:line="360" w:lineRule="auto"/>
        <w:jc w:val="both"/>
        <w:rPr>
          <w:rFonts w:ascii="Times" w:hAnsi="Times"/>
          <w:b/>
          <w:i/>
          <w:sz w:val="28"/>
          <w:szCs w:val="28"/>
        </w:rPr>
      </w:pPr>
      <w:r w:rsidRPr="00535B49">
        <w:rPr>
          <w:rFonts w:ascii="Times" w:hAnsi="Times"/>
          <w:b/>
          <w:i/>
          <w:sz w:val="28"/>
          <w:szCs w:val="28"/>
        </w:rPr>
        <w:t>Рисуно</w:t>
      </w:r>
      <w:r w:rsidR="00CC56DC" w:rsidRPr="00535B49">
        <w:rPr>
          <w:rFonts w:ascii="Times" w:hAnsi="Times"/>
          <w:b/>
          <w:i/>
          <w:sz w:val="28"/>
          <w:szCs w:val="28"/>
        </w:rPr>
        <w:t>к 14</w:t>
      </w:r>
      <w:r w:rsidR="00116E13">
        <w:rPr>
          <w:rFonts w:ascii="Times" w:hAnsi="Times"/>
          <w:b/>
          <w:i/>
          <w:sz w:val="28"/>
          <w:szCs w:val="28"/>
        </w:rPr>
        <w:t>.</w:t>
      </w:r>
      <w:r w:rsidRPr="00535B49">
        <w:rPr>
          <w:rFonts w:ascii="Times" w:hAnsi="Times"/>
          <w:b/>
          <w:i/>
          <w:sz w:val="28"/>
          <w:szCs w:val="28"/>
        </w:rPr>
        <w:t xml:space="preserve"> – Франшизы одежды по странам происхождения </w:t>
      </w:r>
    </w:p>
    <w:p w:rsidR="009A2AE4" w:rsidRPr="00666EAA" w:rsidRDefault="009A2AE4" w:rsidP="00535B49">
      <w:pPr>
        <w:spacing w:after="0" w:line="312" w:lineRule="auto"/>
        <w:jc w:val="both"/>
        <w:rPr>
          <w:rFonts w:ascii="Times" w:hAnsi="Times"/>
          <w:i/>
          <w:sz w:val="28"/>
          <w:szCs w:val="28"/>
        </w:rPr>
      </w:pPr>
    </w:p>
    <w:p w:rsidR="00116E13" w:rsidRDefault="00116E13" w:rsidP="009A2AE4">
      <w:pPr>
        <w:widowControl w:val="0"/>
        <w:spacing w:after="0" w:line="360" w:lineRule="auto"/>
        <w:jc w:val="center"/>
        <w:rPr>
          <w:rFonts w:ascii="Times" w:hAnsi="Times"/>
          <w:b/>
          <w:sz w:val="28"/>
          <w:szCs w:val="28"/>
        </w:rPr>
      </w:pPr>
    </w:p>
    <w:p w:rsidR="009A2AE4" w:rsidRDefault="009A2AE4" w:rsidP="009A2AE4">
      <w:pPr>
        <w:widowControl w:val="0"/>
        <w:spacing w:after="0" w:line="360" w:lineRule="auto"/>
        <w:jc w:val="center"/>
        <w:rPr>
          <w:rFonts w:ascii="Times" w:hAnsi="Times"/>
          <w:b/>
          <w:sz w:val="28"/>
          <w:szCs w:val="28"/>
        </w:rPr>
      </w:pPr>
      <w:r w:rsidRPr="00666EAA">
        <w:rPr>
          <w:rFonts w:ascii="Times" w:hAnsi="Times"/>
          <w:b/>
          <w:sz w:val="28"/>
          <w:szCs w:val="28"/>
        </w:rPr>
        <w:t>Сфера общественного питания</w:t>
      </w:r>
    </w:p>
    <w:p w:rsidR="009A2AE4" w:rsidRPr="00666EAA" w:rsidRDefault="009A2AE4" w:rsidP="009A2AE4">
      <w:pPr>
        <w:widowControl w:val="0"/>
        <w:spacing w:after="0" w:line="360" w:lineRule="auto"/>
        <w:jc w:val="center"/>
        <w:rPr>
          <w:rFonts w:ascii="Times" w:hAnsi="Times"/>
          <w:b/>
          <w:sz w:val="28"/>
          <w:szCs w:val="28"/>
        </w:rPr>
      </w:pPr>
    </w:p>
    <w:p w:rsidR="009A2AE4" w:rsidRPr="00666EAA" w:rsidRDefault="009A2AE4" w:rsidP="009A2AE4">
      <w:pPr>
        <w:widowControl w:val="0"/>
        <w:spacing w:after="0" w:line="360" w:lineRule="auto"/>
        <w:jc w:val="both"/>
        <w:rPr>
          <w:rFonts w:ascii="Times" w:hAnsi="Times"/>
          <w:sz w:val="28"/>
          <w:szCs w:val="28"/>
        </w:rPr>
      </w:pPr>
      <w:r w:rsidRPr="00666EAA">
        <w:rPr>
          <w:rFonts w:ascii="Times" w:hAnsi="Times"/>
          <w:noProof/>
          <w:sz w:val="28"/>
          <w:szCs w:val="28"/>
          <w:lang w:eastAsia="ru-RU"/>
        </w:rPr>
        <w:drawing>
          <wp:inline distT="0" distB="0" distL="0" distR="0" wp14:anchorId="58CD72E4" wp14:editId="5CBD7E7A">
            <wp:extent cx="5838825" cy="2638425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A2AE4" w:rsidRPr="00535B49" w:rsidRDefault="00CC56DC" w:rsidP="009A2AE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>Рисунок 15</w:t>
      </w:r>
      <w:r w:rsidR="00535B49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9A2AE4"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Структура франчайзинга в сфере общественного питания</w:t>
      </w:r>
    </w:p>
    <w:p w:rsidR="009A2AE4" w:rsidRDefault="009A2AE4" w:rsidP="00535B49">
      <w:pPr>
        <w:widowControl w:val="0"/>
        <w:spacing w:after="0" w:line="312" w:lineRule="auto"/>
        <w:ind w:firstLine="709"/>
        <w:jc w:val="both"/>
        <w:rPr>
          <w:rFonts w:ascii="Times" w:hAnsi="Times"/>
          <w:sz w:val="28"/>
          <w:szCs w:val="28"/>
        </w:rPr>
      </w:pPr>
      <w:r w:rsidRPr="00666EAA">
        <w:rPr>
          <w:rFonts w:ascii="Times" w:hAnsi="Times"/>
          <w:sz w:val="28"/>
          <w:szCs w:val="28"/>
        </w:rPr>
        <w:t>Российский рынок общественного питания в течении последних лет развивается особенно активно: ежегодный прирост оценивается в 15−20%.</w:t>
      </w:r>
    </w:p>
    <w:p w:rsidR="00535B49" w:rsidRPr="00666EAA" w:rsidRDefault="00535B49" w:rsidP="00535B49">
      <w:pPr>
        <w:widowControl w:val="0"/>
        <w:spacing w:after="0" w:line="312" w:lineRule="auto"/>
        <w:ind w:firstLine="709"/>
        <w:jc w:val="both"/>
        <w:rPr>
          <w:rFonts w:ascii="Times" w:hAnsi="Times"/>
          <w:sz w:val="28"/>
          <w:szCs w:val="28"/>
        </w:rPr>
      </w:pPr>
    </w:p>
    <w:p w:rsidR="009A2AE4" w:rsidRPr="00535B49" w:rsidRDefault="009A2AE4" w:rsidP="009A2AE4">
      <w:pPr>
        <w:widowControl w:val="0"/>
        <w:spacing w:after="0" w:line="360" w:lineRule="auto"/>
        <w:jc w:val="both"/>
        <w:rPr>
          <w:rFonts w:ascii="Times" w:hAnsi="Times"/>
          <w:sz w:val="28"/>
          <w:szCs w:val="28"/>
        </w:rPr>
      </w:pPr>
      <w:r w:rsidRPr="00666EAA">
        <w:rPr>
          <w:rFonts w:ascii="Times" w:hAnsi="Times"/>
          <w:noProof/>
          <w:sz w:val="28"/>
          <w:szCs w:val="28"/>
          <w:lang w:eastAsia="ru-RU"/>
        </w:rPr>
        <w:lastRenderedPageBreak/>
        <w:drawing>
          <wp:inline distT="0" distB="0" distL="0" distR="0" wp14:anchorId="6CA9EC81" wp14:editId="4DE2F711">
            <wp:extent cx="5819775" cy="3409950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A2AE4" w:rsidRPr="00535B49" w:rsidRDefault="00CC56DC" w:rsidP="00535B4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>Рисунок 16</w:t>
      </w:r>
      <w:r w:rsidR="00535B49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9A2AE4"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Крупнейшие </w:t>
      </w:r>
      <w:proofErr w:type="spellStart"/>
      <w:r w:rsidR="009A2AE4"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>франчайзинговые</w:t>
      </w:r>
      <w:proofErr w:type="spellEnd"/>
      <w:r w:rsidR="009A2AE4"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сети в России в сфере общественного питания</w:t>
      </w:r>
    </w:p>
    <w:p w:rsidR="009A2AE4" w:rsidRPr="00740421" w:rsidRDefault="009A2AE4" w:rsidP="009A2AE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56DC" w:rsidRDefault="009A2AE4" w:rsidP="009A2AE4">
      <w:pPr>
        <w:widowControl w:val="0"/>
        <w:spacing w:after="0" w:line="312" w:lineRule="auto"/>
        <w:ind w:firstLine="709"/>
        <w:jc w:val="both"/>
        <w:rPr>
          <w:rFonts w:ascii="Times" w:hAnsi="Times"/>
          <w:sz w:val="28"/>
          <w:szCs w:val="28"/>
        </w:rPr>
      </w:pPr>
      <w:r w:rsidRPr="00666EAA">
        <w:rPr>
          <w:rFonts w:ascii="Times" w:hAnsi="Times"/>
          <w:sz w:val="28"/>
          <w:szCs w:val="28"/>
        </w:rPr>
        <w:t xml:space="preserve">В </w:t>
      </w:r>
      <w:r w:rsidR="00116E13">
        <w:rPr>
          <w:rFonts w:ascii="Times" w:hAnsi="Times"/>
          <w:sz w:val="28"/>
          <w:szCs w:val="28"/>
        </w:rPr>
        <w:t>сфере</w:t>
      </w:r>
      <w:r w:rsidRPr="00666EAA">
        <w:rPr>
          <w:rFonts w:ascii="Times" w:hAnsi="Times"/>
          <w:sz w:val="28"/>
          <w:szCs w:val="28"/>
        </w:rPr>
        <w:t xml:space="preserve"> общественного питания </w:t>
      </w:r>
      <w:r w:rsidR="00CC56DC">
        <w:rPr>
          <w:rFonts w:ascii="Times" w:hAnsi="Times"/>
          <w:sz w:val="28"/>
          <w:szCs w:val="28"/>
        </w:rPr>
        <w:t xml:space="preserve">лидером </w:t>
      </w:r>
      <w:r w:rsidRPr="00666EAA">
        <w:rPr>
          <w:rFonts w:ascii="Times" w:hAnsi="Times"/>
          <w:sz w:val="28"/>
          <w:szCs w:val="28"/>
        </w:rPr>
        <w:t>по праву считается американская компания «</w:t>
      </w:r>
      <w:proofErr w:type="spellStart"/>
      <w:r w:rsidRPr="00666EAA">
        <w:rPr>
          <w:rFonts w:ascii="Times" w:hAnsi="Times"/>
          <w:sz w:val="28"/>
          <w:szCs w:val="28"/>
        </w:rPr>
        <w:t>Баскин</w:t>
      </w:r>
      <w:proofErr w:type="spellEnd"/>
      <w:r w:rsidRPr="00666EAA">
        <w:rPr>
          <w:rFonts w:ascii="Times" w:hAnsi="Times"/>
          <w:sz w:val="28"/>
          <w:szCs w:val="28"/>
        </w:rPr>
        <w:t xml:space="preserve"> </w:t>
      </w:r>
      <w:proofErr w:type="spellStart"/>
      <w:r w:rsidRPr="00666EAA">
        <w:rPr>
          <w:rFonts w:ascii="Times" w:hAnsi="Times"/>
          <w:sz w:val="28"/>
          <w:szCs w:val="28"/>
        </w:rPr>
        <w:t>Роббинс</w:t>
      </w:r>
      <w:proofErr w:type="spellEnd"/>
      <w:r w:rsidRPr="00666EAA">
        <w:rPr>
          <w:rFonts w:ascii="Times" w:hAnsi="Times"/>
          <w:sz w:val="28"/>
          <w:szCs w:val="28"/>
        </w:rPr>
        <w:t>»</w:t>
      </w:r>
      <w:r w:rsidR="00CC56DC">
        <w:rPr>
          <w:rFonts w:ascii="Times" w:hAnsi="Times"/>
          <w:sz w:val="28"/>
          <w:szCs w:val="28"/>
        </w:rPr>
        <w:t xml:space="preserve">. </w:t>
      </w:r>
      <w:r w:rsidRPr="00666EAA">
        <w:rPr>
          <w:rFonts w:ascii="Times" w:hAnsi="Times"/>
          <w:sz w:val="28"/>
          <w:szCs w:val="28"/>
        </w:rPr>
        <w:t>В настоящее время компания «</w:t>
      </w:r>
      <w:proofErr w:type="spellStart"/>
      <w:r w:rsidRPr="00666EAA">
        <w:rPr>
          <w:rFonts w:ascii="Times" w:hAnsi="Times"/>
          <w:sz w:val="28"/>
          <w:szCs w:val="28"/>
        </w:rPr>
        <w:t>Баскин</w:t>
      </w:r>
      <w:proofErr w:type="spellEnd"/>
      <w:r w:rsidRPr="00666EAA">
        <w:rPr>
          <w:rFonts w:ascii="Times" w:hAnsi="Times"/>
          <w:sz w:val="28"/>
          <w:szCs w:val="28"/>
        </w:rPr>
        <w:t xml:space="preserve"> </w:t>
      </w:r>
      <w:proofErr w:type="spellStart"/>
      <w:r w:rsidRPr="00666EAA">
        <w:rPr>
          <w:rFonts w:ascii="Times" w:hAnsi="Times"/>
          <w:sz w:val="28"/>
          <w:szCs w:val="28"/>
        </w:rPr>
        <w:t>Роббинс</w:t>
      </w:r>
      <w:proofErr w:type="spellEnd"/>
      <w:r w:rsidRPr="00666EAA">
        <w:rPr>
          <w:rFonts w:ascii="Times" w:hAnsi="Times"/>
          <w:sz w:val="28"/>
          <w:szCs w:val="28"/>
        </w:rPr>
        <w:t>» является крупнейшей</w:t>
      </w:r>
      <w:r w:rsidR="00CC56DC">
        <w:rPr>
          <w:rFonts w:ascii="Times" w:hAnsi="Times"/>
          <w:sz w:val="28"/>
          <w:szCs w:val="28"/>
        </w:rPr>
        <w:t xml:space="preserve"> мировой сетью кафе мороженого</w:t>
      </w:r>
      <w:r w:rsidRPr="00666EAA">
        <w:rPr>
          <w:rFonts w:ascii="Times" w:hAnsi="Times"/>
          <w:sz w:val="28"/>
          <w:szCs w:val="28"/>
        </w:rPr>
        <w:t xml:space="preserve">: под </w:t>
      </w:r>
      <w:r w:rsidR="00116E13">
        <w:rPr>
          <w:rFonts w:ascii="Times" w:hAnsi="Times"/>
          <w:sz w:val="28"/>
          <w:szCs w:val="28"/>
        </w:rPr>
        <w:t>единым брендом</w:t>
      </w:r>
      <w:r w:rsidRPr="00666EAA">
        <w:rPr>
          <w:rFonts w:ascii="Times" w:hAnsi="Times"/>
          <w:sz w:val="28"/>
          <w:szCs w:val="28"/>
        </w:rPr>
        <w:t xml:space="preserve"> функционируют свыше 6700 заведений в 31 стр</w:t>
      </w:r>
      <w:r w:rsidR="00CC56DC">
        <w:rPr>
          <w:rFonts w:ascii="Times" w:hAnsi="Times"/>
          <w:sz w:val="28"/>
          <w:szCs w:val="28"/>
        </w:rPr>
        <w:t>ане мира</w:t>
      </w:r>
      <w:r w:rsidRPr="00666EAA">
        <w:rPr>
          <w:rFonts w:ascii="Times" w:hAnsi="Times"/>
          <w:sz w:val="28"/>
          <w:szCs w:val="28"/>
        </w:rPr>
        <w:t xml:space="preserve">. </w:t>
      </w:r>
    </w:p>
    <w:p w:rsidR="009A2AE4" w:rsidRPr="00666EAA" w:rsidRDefault="009A2AE4" w:rsidP="009A2AE4">
      <w:pPr>
        <w:widowControl w:val="0"/>
        <w:spacing w:after="0" w:line="312" w:lineRule="auto"/>
        <w:ind w:firstLine="709"/>
        <w:jc w:val="both"/>
        <w:rPr>
          <w:rFonts w:ascii="Times" w:hAnsi="Times"/>
          <w:sz w:val="28"/>
          <w:szCs w:val="28"/>
        </w:rPr>
      </w:pPr>
      <w:r w:rsidRPr="00666EAA">
        <w:rPr>
          <w:rFonts w:ascii="Times" w:hAnsi="Times"/>
          <w:sz w:val="28"/>
          <w:szCs w:val="28"/>
        </w:rPr>
        <w:t>За 2011</w:t>
      </w:r>
      <w:r w:rsidR="00CC56DC">
        <w:rPr>
          <w:rFonts w:ascii="Times" w:hAnsi="Times"/>
          <w:sz w:val="28"/>
          <w:szCs w:val="28"/>
        </w:rPr>
        <w:t xml:space="preserve"> на</w:t>
      </w:r>
      <w:r w:rsidRPr="00666EAA">
        <w:rPr>
          <w:rFonts w:ascii="Times" w:hAnsi="Times"/>
          <w:sz w:val="28"/>
          <w:szCs w:val="28"/>
        </w:rPr>
        <w:t xml:space="preserve"> </w:t>
      </w:r>
      <w:r w:rsidR="00CC56DC">
        <w:rPr>
          <w:rFonts w:ascii="Times" w:hAnsi="Times"/>
          <w:sz w:val="28"/>
          <w:szCs w:val="28"/>
        </w:rPr>
        <w:t xml:space="preserve">предприятия категории </w:t>
      </w:r>
      <w:r w:rsidRPr="00666EAA">
        <w:rPr>
          <w:rFonts w:ascii="Times" w:hAnsi="Times"/>
          <w:sz w:val="28"/>
          <w:szCs w:val="28"/>
        </w:rPr>
        <w:t>фаст-фуд, в России при</w:t>
      </w:r>
      <w:r w:rsidR="00CC56DC">
        <w:rPr>
          <w:rFonts w:ascii="Times" w:hAnsi="Times"/>
          <w:sz w:val="28"/>
          <w:szCs w:val="28"/>
        </w:rPr>
        <w:t xml:space="preserve">ходилось </w:t>
      </w:r>
      <w:r w:rsidRPr="00666EAA">
        <w:rPr>
          <w:rFonts w:ascii="Times" w:hAnsi="Times"/>
          <w:sz w:val="28"/>
          <w:szCs w:val="28"/>
        </w:rPr>
        <w:t>38% от ресторанного рынка. Для сравнения, в США этот показатель составляет 39%, в Китае – лишь 23%. Эксперты прогнозируют, что к 2015 году ресторанный рынок в России вырастет еще на 30%</w:t>
      </w:r>
      <w:r w:rsidR="00E26974">
        <w:rPr>
          <w:rFonts w:ascii="Times" w:hAnsi="Times"/>
          <w:sz w:val="28"/>
          <w:szCs w:val="28"/>
        </w:rPr>
        <w:t>.</w:t>
      </w:r>
    </w:p>
    <w:p w:rsidR="009A2AE4" w:rsidRPr="00666EAA" w:rsidRDefault="00E26974" w:rsidP="009A2AE4">
      <w:pPr>
        <w:widowControl w:val="0"/>
        <w:spacing w:after="0" w:line="312" w:lineRule="auto"/>
        <w:ind w:firstLine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Динамично развивающейся </w:t>
      </w:r>
      <w:proofErr w:type="spellStart"/>
      <w:r>
        <w:rPr>
          <w:rFonts w:ascii="Times" w:hAnsi="Times"/>
          <w:sz w:val="28"/>
          <w:szCs w:val="28"/>
        </w:rPr>
        <w:t>фастфудной</w:t>
      </w:r>
      <w:proofErr w:type="spellEnd"/>
      <w:r>
        <w:rPr>
          <w:rFonts w:ascii="Times" w:hAnsi="Times"/>
          <w:sz w:val="28"/>
          <w:szCs w:val="28"/>
        </w:rPr>
        <w:t xml:space="preserve"> сетью является с</w:t>
      </w:r>
      <w:r w:rsidR="009A2AE4" w:rsidRPr="00666EAA">
        <w:rPr>
          <w:rFonts w:ascii="Times" w:hAnsi="Times"/>
          <w:sz w:val="28"/>
          <w:szCs w:val="28"/>
        </w:rPr>
        <w:t>еть KF</w:t>
      </w:r>
      <w:r w:rsidR="009A2AE4" w:rsidRPr="00666EAA">
        <w:rPr>
          <w:rFonts w:ascii="Times" w:hAnsi="Times"/>
          <w:sz w:val="28"/>
          <w:szCs w:val="28"/>
          <w:lang w:val="en-US"/>
        </w:rPr>
        <w:t>C</w:t>
      </w:r>
      <w:r w:rsidR="009A2AE4" w:rsidRPr="00666EAA">
        <w:rPr>
          <w:rFonts w:ascii="Times" w:hAnsi="Times"/>
          <w:sz w:val="28"/>
          <w:szCs w:val="28"/>
        </w:rPr>
        <w:t xml:space="preserve"> появилась на российском рынке в 2005 году после заключения договора с российской Группой «</w:t>
      </w:r>
      <w:proofErr w:type="spellStart"/>
      <w:r w:rsidR="009A2AE4" w:rsidRPr="00666EAA">
        <w:rPr>
          <w:rFonts w:ascii="Times" w:hAnsi="Times"/>
          <w:sz w:val="28"/>
          <w:szCs w:val="28"/>
        </w:rPr>
        <w:t>Ростик’с</w:t>
      </w:r>
      <w:proofErr w:type="spellEnd"/>
      <w:r w:rsidR="009A2AE4" w:rsidRPr="00666EAA">
        <w:rPr>
          <w:rFonts w:ascii="Times" w:hAnsi="Times"/>
          <w:sz w:val="28"/>
          <w:szCs w:val="28"/>
        </w:rPr>
        <w:t xml:space="preserve">». Сегодня KFC </w:t>
      </w:r>
      <w:r>
        <w:rPr>
          <w:rFonts w:ascii="Times" w:hAnsi="Times"/>
          <w:sz w:val="28"/>
          <w:szCs w:val="28"/>
        </w:rPr>
        <w:t>насчитывает</w:t>
      </w:r>
      <w:r w:rsidR="009A2AE4" w:rsidRPr="00666EAA">
        <w:rPr>
          <w:rFonts w:ascii="Times" w:hAnsi="Times"/>
          <w:sz w:val="28"/>
          <w:szCs w:val="28"/>
        </w:rPr>
        <w:t xml:space="preserve"> около 16 тысяч ресторанов в 11 странах мира</w:t>
      </w:r>
      <w:r>
        <w:rPr>
          <w:rFonts w:ascii="Times" w:hAnsi="Times"/>
          <w:sz w:val="28"/>
          <w:szCs w:val="28"/>
        </w:rPr>
        <w:t>.</w:t>
      </w:r>
    </w:p>
    <w:p w:rsidR="009A2AE4" w:rsidRPr="00666EAA" w:rsidRDefault="009A2AE4" w:rsidP="009A2AE4">
      <w:pPr>
        <w:widowControl w:val="0"/>
        <w:spacing w:after="0" w:line="312" w:lineRule="auto"/>
        <w:ind w:firstLine="709"/>
        <w:jc w:val="both"/>
        <w:rPr>
          <w:rFonts w:ascii="Times" w:hAnsi="Times"/>
          <w:sz w:val="28"/>
          <w:szCs w:val="28"/>
        </w:rPr>
      </w:pPr>
      <w:r w:rsidRPr="00666EAA">
        <w:rPr>
          <w:rFonts w:ascii="Times" w:hAnsi="Times"/>
          <w:sz w:val="28"/>
          <w:szCs w:val="28"/>
        </w:rPr>
        <w:t xml:space="preserve">Среди российских </w:t>
      </w:r>
      <w:proofErr w:type="spellStart"/>
      <w:r w:rsidRPr="00666EAA">
        <w:rPr>
          <w:rFonts w:ascii="Times" w:hAnsi="Times"/>
          <w:sz w:val="28"/>
          <w:szCs w:val="28"/>
        </w:rPr>
        <w:t>франчайзеров</w:t>
      </w:r>
      <w:proofErr w:type="spellEnd"/>
      <w:r w:rsidRPr="00666EAA">
        <w:rPr>
          <w:rFonts w:ascii="Times" w:hAnsi="Times"/>
          <w:sz w:val="28"/>
          <w:szCs w:val="28"/>
        </w:rPr>
        <w:t xml:space="preserve"> на рынке быстрого питания ведущие позиции занимает «Крошка-картошка» с концепцией, основанной на турецком блюде «</w:t>
      </w:r>
      <w:proofErr w:type="spellStart"/>
      <w:r w:rsidRPr="00666EAA">
        <w:rPr>
          <w:rFonts w:ascii="Times" w:hAnsi="Times"/>
          <w:sz w:val="28"/>
          <w:szCs w:val="28"/>
        </w:rPr>
        <w:t>Кумплир</w:t>
      </w:r>
      <w:proofErr w:type="spellEnd"/>
      <w:r w:rsidRPr="00666EAA">
        <w:rPr>
          <w:rFonts w:ascii="Times" w:hAnsi="Times"/>
          <w:sz w:val="28"/>
          <w:szCs w:val="28"/>
        </w:rPr>
        <w:t>». Перв</w:t>
      </w:r>
      <w:r w:rsidR="00116E13">
        <w:rPr>
          <w:rFonts w:ascii="Times" w:hAnsi="Times"/>
          <w:sz w:val="28"/>
          <w:szCs w:val="28"/>
        </w:rPr>
        <w:t xml:space="preserve">ое предприятие было открыто </w:t>
      </w:r>
      <w:r w:rsidRPr="00666EAA">
        <w:rPr>
          <w:rFonts w:ascii="Times" w:hAnsi="Times"/>
          <w:sz w:val="28"/>
          <w:szCs w:val="28"/>
        </w:rPr>
        <w:t xml:space="preserve">в Москве в 1998 году, а </w:t>
      </w:r>
      <w:r w:rsidR="00116E13">
        <w:rPr>
          <w:rFonts w:ascii="Times" w:hAnsi="Times"/>
          <w:sz w:val="28"/>
          <w:szCs w:val="28"/>
        </w:rPr>
        <w:t>в конце</w:t>
      </w:r>
      <w:r w:rsidRPr="00666EAA">
        <w:rPr>
          <w:rFonts w:ascii="Times" w:hAnsi="Times"/>
          <w:sz w:val="28"/>
          <w:szCs w:val="28"/>
        </w:rPr>
        <w:t xml:space="preserve"> 2012 года в сеть «Крошка-Картошка» вход</w:t>
      </w:r>
      <w:r w:rsidR="00116E13">
        <w:rPr>
          <w:rFonts w:ascii="Times" w:hAnsi="Times"/>
          <w:sz w:val="28"/>
          <w:szCs w:val="28"/>
        </w:rPr>
        <w:t>ило уже</w:t>
      </w:r>
      <w:r w:rsidRPr="00666EAA">
        <w:rPr>
          <w:rFonts w:ascii="Times" w:hAnsi="Times"/>
          <w:sz w:val="28"/>
          <w:szCs w:val="28"/>
        </w:rPr>
        <w:t xml:space="preserve"> более 300 </w:t>
      </w:r>
      <w:r w:rsidR="00116E13">
        <w:rPr>
          <w:rFonts w:ascii="Times" w:hAnsi="Times"/>
          <w:sz w:val="28"/>
          <w:szCs w:val="28"/>
        </w:rPr>
        <w:t>предприятий</w:t>
      </w:r>
      <w:r w:rsidRPr="00666EAA">
        <w:rPr>
          <w:rFonts w:ascii="Times" w:hAnsi="Times"/>
          <w:sz w:val="28"/>
          <w:szCs w:val="28"/>
        </w:rPr>
        <w:t xml:space="preserve">. </w:t>
      </w:r>
    </w:p>
    <w:p w:rsidR="00BE5171" w:rsidRDefault="00BE5171" w:rsidP="009A2AE4">
      <w:pPr>
        <w:widowControl w:val="0"/>
        <w:spacing w:after="0" w:line="360" w:lineRule="auto"/>
        <w:jc w:val="center"/>
        <w:rPr>
          <w:rFonts w:ascii="Times" w:hAnsi="Times"/>
          <w:b/>
          <w:sz w:val="28"/>
          <w:szCs w:val="28"/>
        </w:rPr>
      </w:pPr>
    </w:p>
    <w:p w:rsidR="009A2AE4" w:rsidRPr="00666EAA" w:rsidRDefault="009A2AE4" w:rsidP="009A2AE4">
      <w:pPr>
        <w:widowControl w:val="0"/>
        <w:spacing w:after="0" w:line="360" w:lineRule="auto"/>
        <w:jc w:val="center"/>
        <w:rPr>
          <w:rFonts w:ascii="Times" w:hAnsi="Times"/>
          <w:b/>
          <w:sz w:val="28"/>
          <w:szCs w:val="28"/>
        </w:rPr>
      </w:pPr>
      <w:r w:rsidRPr="00666EAA">
        <w:rPr>
          <w:rFonts w:ascii="Times" w:hAnsi="Times"/>
          <w:b/>
          <w:sz w:val="28"/>
          <w:szCs w:val="28"/>
        </w:rPr>
        <w:lastRenderedPageBreak/>
        <w:t>Сфера услуг</w:t>
      </w:r>
    </w:p>
    <w:p w:rsidR="009A2AE4" w:rsidRPr="00666EAA" w:rsidRDefault="009A2AE4" w:rsidP="009A2AE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25842293" wp14:editId="592F2789">
            <wp:extent cx="5936615" cy="3114415"/>
            <wp:effectExtent l="0" t="0" r="6985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A2AE4" w:rsidRDefault="009A2AE4" w:rsidP="009A2AE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2AE4" w:rsidRPr="00535B49" w:rsidRDefault="00E26974" w:rsidP="009A2AE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>Рисунок 17</w:t>
      </w:r>
      <w:r w:rsidR="00535B49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9A2AE4" w:rsidRPr="00535B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Структура франчайзинга в сфере услуг</w:t>
      </w:r>
    </w:p>
    <w:p w:rsidR="009A2AE4" w:rsidRDefault="009A2AE4" w:rsidP="009A2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AE4" w:rsidRPr="00666EAA" w:rsidRDefault="00E26974" w:rsidP="00424F3A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Наибольшую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долю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фере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 </w:t>
      </w:r>
      <w:r w:rsidR="009A2AE4" w:rsidRPr="00666EAA">
        <w:rPr>
          <w:rFonts w:ascii="Times New Roman" w:hAnsi="Times New Roman" w:cs="Times New Roman"/>
          <w:b/>
          <w:i/>
          <w:sz w:val="28"/>
          <w:szCs w:val="28"/>
        </w:rPr>
        <w:t>услуг для бизнеса</w:t>
      </w:r>
      <w:r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9A2AE4" w:rsidRPr="00666EAA">
        <w:rPr>
          <w:rFonts w:ascii="Times New Roman" w:hAnsi="Times New Roman" w:cs="Times New Roman"/>
          <w:sz w:val="28"/>
          <w:szCs w:val="28"/>
        </w:rPr>
        <w:t>рекламные и консалтинговые агентства, фирмы</w:t>
      </w:r>
      <w:r w:rsidR="00424F3A">
        <w:rPr>
          <w:rFonts w:ascii="Times New Roman" w:hAnsi="Times New Roman" w:cs="Times New Roman"/>
          <w:sz w:val="28"/>
          <w:szCs w:val="28"/>
        </w:rPr>
        <w:t>-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 грузоперевоз</w:t>
      </w:r>
      <w:r w:rsidR="00424F3A">
        <w:rPr>
          <w:rFonts w:ascii="Times New Roman" w:hAnsi="Times New Roman" w:cs="Times New Roman"/>
          <w:sz w:val="28"/>
          <w:szCs w:val="28"/>
        </w:rPr>
        <w:t>чи</w:t>
      </w:r>
      <w:r w:rsidR="009A2AE4" w:rsidRPr="00666EAA">
        <w:rPr>
          <w:rFonts w:ascii="Times New Roman" w:hAnsi="Times New Roman" w:cs="Times New Roman"/>
          <w:sz w:val="28"/>
          <w:szCs w:val="28"/>
        </w:rPr>
        <w:t>ки и т.п.</w:t>
      </w:r>
      <w:r w:rsidR="009A2AE4" w:rsidRPr="00666EAA">
        <w:rPr>
          <w:rFonts w:ascii="Times New Roman" w:hAnsi="Times New Roman" w:cs="Times New Roman"/>
          <w:color w:val="353535"/>
          <w:sz w:val="28"/>
          <w:szCs w:val="28"/>
        </w:rPr>
        <w:t xml:space="preserve"> </w:t>
      </w:r>
    </w:p>
    <w:p w:rsidR="009A2AE4" w:rsidRPr="00666EAA" w:rsidRDefault="00424F3A" w:rsidP="009A2AE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9A2AE4" w:rsidRPr="00666EAA">
        <w:rPr>
          <w:rFonts w:ascii="Times New Roman" w:hAnsi="Times New Roman" w:cs="Times New Roman"/>
          <w:b/>
          <w:i/>
          <w:sz w:val="28"/>
          <w:szCs w:val="28"/>
        </w:rPr>
        <w:t>фитнес-индустрии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 растут на 20-25% в год. </w:t>
      </w:r>
    </w:p>
    <w:p w:rsidR="009A2AE4" w:rsidRPr="00666EAA" w:rsidRDefault="00424F3A" w:rsidP="009A2AE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16E13">
        <w:rPr>
          <w:rFonts w:ascii="Times New Roman" w:hAnsi="Times New Roman" w:cs="Times New Roman"/>
          <w:sz w:val="28"/>
          <w:szCs w:val="28"/>
        </w:rPr>
        <w:t xml:space="preserve">оссийская компания </w:t>
      </w:r>
      <w:proofErr w:type="spellStart"/>
      <w:r w:rsidR="00116E13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116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E13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="00116E13">
        <w:rPr>
          <w:rFonts w:ascii="Times New Roman" w:hAnsi="Times New Roman" w:cs="Times New Roman"/>
          <w:sz w:val="28"/>
          <w:szCs w:val="28"/>
        </w:rPr>
        <w:t>, начавшая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 свою деятельность</w:t>
      </w:r>
      <w:r w:rsidRPr="00424F3A">
        <w:rPr>
          <w:rFonts w:ascii="Times New Roman" w:hAnsi="Times New Roman" w:cs="Times New Roman"/>
          <w:sz w:val="28"/>
          <w:szCs w:val="28"/>
        </w:rPr>
        <w:t xml:space="preserve"> </w:t>
      </w:r>
      <w:r w:rsidRPr="00666EAA">
        <w:rPr>
          <w:rFonts w:ascii="Times New Roman" w:hAnsi="Times New Roman" w:cs="Times New Roman"/>
          <w:sz w:val="28"/>
          <w:szCs w:val="28"/>
        </w:rPr>
        <w:t>в Москве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 в 1993 году</w:t>
      </w:r>
      <w:r w:rsidR="00116E13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егодня включает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 21 фитнес-клуб в Москве, регионах России. </w:t>
      </w:r>
    </w:p>
    <w:p w:rsidR="00116E13" w:rsidRDefault="00424F3A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Гостиничный франчайзинг </w:t>
      </w:r>
      <w:r>
        <w:rPr>
          <w:rFonts w:ascii="Times New Roman" w:hAnsi="Times New Roman" w:cs="Times New Roman"/>
          <w:sz w:val="28"/>
          <w:szCs w:val="28"/>
        </w:rPr>
        <w:t>является одним из самых активных</w:t>
      </w:r>
      <w:r w:rsidR="00CB7D1A">
        <w:rPr>
          <w:rFonts w:ascii="Times New Roman" w:hAnsi="Times New Roman" w:cs="Times New Roman"/>
          <w:sz w:val="28"/>
          <w:szCs w:val="28"/>
        </w:rPr>
        <w:t xml:space="preserve"> во всем мире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. </w:t>
      </w:r>
      <w:r w:rsidR="00116E13">
        <w:rPr>
          <w:rFonts w:ascii="Times New Roman" w:hAnsi="Times New Roman" w:cs="Times New Roman"/>
          <w:sz w:val="28"/>
          <w:szCs w:val="28"/>
        </w:rPr>
        <w:t xml:space="preserve">Однако в России до настоящего времени он фактически не развит. </w:t>
      </w:r>
    </w:p>
    <w:p w:rsidR="009A2AE4" w:rsidRPr="00666EAA" w:rsidRDefault="00CB7D1A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о франшизе </w:t>
      </w:r>
      <w:r w:rsidR="009A2AE4" w:rsidRPr="00666EAA">
        <w:rPr>
          <w:rFonts w:ascii="Times New Roman" w:hAnsi="Times New Roman" w:cs="Times New Roman"/>
          <w:sz w:val="28"/>
          <w:szCs w:val="28"/>
          <w:lang w:val="en-US"/>
        </w:rPr>
        <w:t>Radisson</w:t>
      </w:r>
      <w:r>
        <w:rPr>
          <w:rFonts w:ascii="Times New Roman" w:hAnsi="Times New Roman" w:cs="Times New Roman"/>
          <w:sz w:val="28"/>
          <w:szCs w:val="28"/>
        </w:rPr>
        <w:t xml:space="preserve"> в России </w:t>
      </w:r>
      <w:r w:rsidR="00116E13">
        <w:rPr>
          <w:rFonts w:ascii="Times New Roman" w:hAnsi="Times New Roman" w:cs="Times New Roman"/>
          <w:sz w:val="28"/>
          <w:szCs w:val="28"/>
        </w:rPr>
        <w:t>функционируют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отеля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 в Сочи – «</w:t>
      </w:r>
      <w:proofErr w:type="spellStart"/>
      <w:r w:rsidR="009A2AE4" w:rsidRPr="00666EAA">
        <w:rPr>
          <w:rFonts w:ascii="Times New Roman" w:hAnsi="Times New Roman" w:cs="Times New Roman"/>
          <w:sz w:val="28"/>
          <w:szCs w:val="28"/>
        </w:rPr>
        <w:t>Radisson</w:t>
      </w:r>
      <w:proofErr w:type="spellEnd"/>
      <w:r w:rsidR="009A2AE4" w:rsidRPr="00666EAA">
        <w:rPr>
          <w:rFonts w:ascii="Times New Roman" w:hAnsi="Times New Roman" w:cs="Times New Roman"/>
          <w:sz w:val="28"/>
          <w:szCs w:val="28"/>
        </w:rPr>
        <w:t xml:space="preserve"> Лазурная», «</w:t>
      </w:r>
      <w:proofErr w:type="spellStart"/>
      <w:r w:rsidR="009A2AE4" w:rsidRPr="00666EAA">
        <w:rPr>
          <w:rFonts w:ascii="Times New Roman" w:hAnsi="Times New Roman" w:cs="Times New Roman"/>
          <w:sz w:val="28"/>
          <w:szCs w:val="28"/>
        </w:rPr>
        <w:t>Radisson</w:t>
      </w:r>
      <w:proofErr w:type="spellEnd"/>
      <w:r w:rsidR="009A2AE4" w:rsidRPr="00666EAA">
        <w:rPr>
          <w:rFonts w:ascii="Times New Roman" w:hAnsi="Times New Roman" w:cs="Times New Roman"/>
          <w:sz w:val="28"/>
          <w:szCs w:val="28"/>
        </w:rPr>
        <w:t xml:space="preserve"> ПИК». </w:t>
      </w:r>
    </w:p>
    <w:p w:rsidR="009A2AE4" w:rsidRPr="00666EAA" w:rsidRDefault="00CB7D1A" w:rsidP="0040720E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рким </w:t>
      </w:r>
      <w:proofErr w:type="spellStart"/>
      <w:r w:rsidR="009A2AE4" w:rsidRPr="00666EAA">
        <w:rPr>
          <w:rFonts w:ascii="Times New Roman" w:hAnsi="Times New Roman" w:cs="Times New Roman"/>
          <w:sz w:val="28"/>
          <w:szCs w:val="28"/>
        </w:rPr>
        <w:t>франчайзером</w:t>
      </w:r>
      <w:proofErr w:type="spellEnd"/>
      <w:r w:rsidR="009A2AE4" w:rsidRPr="00666EA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отельном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 рынке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16E13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="009A2AE4" w:rsidRPr="00666EAA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="009A2AE4" w:rsidRPr="0066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AE4" w:rsidRPr="00666EAA">
        <w:rPr>
          <w:rFonts w:ascii="Times New Roman" w:hAnsi="Times New Roman" w:cs="Times New Roman"/>
          <w:sz w:val="28"/>
          <w:szCs w:val="28"/>
        </w:rPr>
        <w:t>Worldwide</w:t>
      </w:r>
      <w:proofErr w:type="spellEnd"/>
      <w:r w:rsidR="009A2AE4" w:rsidRPr="00666EAA">
        <w:rPr>
          <w:rFonts w:ascii="Times New Roman" w:hAnsi="Times New Roman" w:cs="Times New Roman"/>
          <w:sz w:val="28"/>
          <w:szCs w:val="28"/>
        </w:rPr>
        <w:t xml:space="preserve">. В 2008 году корпорация </w:t>
      </w:r>
      <w:proofErr w:type="spellStart"/>
      <w:r w:rsidR="009A2AE4" w:rsidRPr="00666EAA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="009A2AE4" w:rsidRPr="0066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AE4" w:rsidRPr="00666EAA">
        <w:rPr>
          <w:rFonts w:ascii="Times New Roman" w:hAnsi="Times New Roman" w:cs="Times New Roman"/>
          <w:sz w:val="28"/>
          <w:szCs w:val="28"/>
        </w:rPr>
        <w:t>Hotels</w:t>
      </w:r>
      <w:proofErr w:type="spellEnd"/>
      <w:r w:rsidR="009A2AE4" w:rsidRPr="0066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ввела в действие - </w:t>
      </w:r>
      <w:proofErr w:type="spellStart"/>
      <w:r w:rsidR="009A2AE4" w:rsidRPr="00666EAA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="009A2AE4" w:rsidRPr="0066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AE4" w:rsidRPr="00666EAA">
        <w:rPr>
          <w:rFonts w:ascii="Times New Roman" w:hAnsi="Times New Roman" w:cs="Times New Roman"/>
          <w:sz w:val="28"/>
          <w:szCs w:val="28"/>
        </w:rPr>
        <w:t>Moscow</w:t>
      </w:r>
      <w:proofErr w:type="spellEnd"/>
      <w:r w:rsidR="009A2AE4" w:rsidRPr="0066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AE4" w:rsidRPr="00666EAA">
        <w:rPr>
          <w:rFonts w:ascii="Times New Roman" w:hAnsi="Times New Roman" w:cs="Times New Roman"/>
          <w:sz w:val="28"/>
          <w:szCs w:val="28"/>
        </w:rPr>
        <w:t>Leningradskaya</w:t>
      </w:r>
      <w:proofErr w:type="spellEnd"/>
      <w:r w:rsidR="009A2AE4" w:rsidRPr="00666EAA">
        <w:rPr>
          <w:rFonts w:ascii="Times New Roman" w:hAnsi="Times New Roman" w:cs="Times New Roman"/>
          <w:sz w:val="28"/>
          <w:szCs w:val="28"/>
        </w:rPr>
        <w:t>. В</w:t>
      </w:r>
      <w:r w:rsidR="009A2AE4" w:rsidRPr="00CB7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2AE4" w:rsidRPr="00666EAA">
        <w:rPr>
          <w:rFonts w:ascii="Times New Roman" w:hAnsi="Times New Roman" w:cs="Times New Roman"/>
          <w:sz w:val="28"/>
          <w:szCs w:val="28"/>
        </w:rPr>
        <w:t>тот</w:t>
      </w:r>
      <w:r w:rsidR="009A2AE4" w:rsidRPr="00CB7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2AE4" w:rsidRPr="00666EAA">
        <w:rPr>
          <w:rFonts w:ascii="Times New Roman" w:hAnsi="Times New Roman" w:cs="Times New Roman"/>
          <w:sz w:val="28"/>
          <w:szCs w:val="28"/>
        </w:rPr>
        <w:t>же</w:t>
      </w:r>
      <w:r w:rsidR="009A2AE4" w:rsidRPr="00CB7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2AE4" w:rsidRPr="00666EAA">
        <w:rPr>
          <w:rFonts w:ascii="Times New Roman" w:hAnsi="Times New Roman" w:cs="Times New Roman"/>
          <w:sz w:val="28"/>
          <w:szCs w:val="28"/>
        </w:rPr>
        <w:t>год</w:t>
      </w:r>
      <w:r w:rsidR="009A2AE4" w:rsidRPr="00CB7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2AE4" w:rsidRPr="00666EAA">
        <w:rPr>
          <w:rFonts w:ascii="Times New Roman" w:hAnsi="Times New Roman" w:cs="Times New Roman"/>
          <w:sz w:val="28"/>
          <w:szCs w:val="28"/>
        </w:rPr>
        <w:t>пермская</w:t>
      </w:r>
      <w:r w:rsidR="009A2AE4" w:rsidRPr="00CB7D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2AE4" w:rsidRPr="00666EAA">
        <w:rPr>
          <w:rFonts w:ascii="Times New Roman" w:hAnsi="Times New Roman" w:cs="Times New Roman"/>
          <w:sz w:val="28"/>
          <w:szCs w:val="28"/>
        </w:rPr>
        <w:t>УК</w:t>
      </w:r>
      <w:r w:rsidR="009A2AE4" w:rsidRPr="00CB7D1A">
        <w:rPr>
          <w:rFonts w:ascii="Times New Roman" w:hAnsi="Times New Roman" w:cs="Times New Roman"/>
          <w:sz w:val="28"/>
          <w:szCs w:val="28"/>
          <w:lang w:val="en-US"/>
        </w:rPr>
        <w:t xml:space="preserve"> BS Hospitality Management </w:t>
      </w:r>
      <w:r w:rsidR="009A2AE4" w:rsidRPr="00666EAA">
        <w:rPr>
          <w:rFonts w:ascii="Times New Roman" w:hAnsi="Times New Roman" w:cs="Times New Roman"/>
          <w:sz w:val="28"/>
          <w:szCs w:val="28"/>
        </w:rPr>
        <w:t>открыла</w:t>
      </w:r>
      <w:r w:rsidRPr="00CB7D1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9A2AE4" w:rsidRPr="00CB7D1A">
        <w:rPr>
          <w:rFonts w:ascii="Times New Roman" w:hAnsi="Times New Roman" w:cs="Times New Roman"/>
          <w:sz w:val="28"/>
          <w:szCs w:val="28"/>
          <w:lang w:val="en-US"/>
        </w:rPr>
        <w:t xml:space="preserve">Hilton Garden Inn Perm. </w:t>
      </w:r>
      <w:r w:rsidR="009A2AE4" w:rsidRPr="00666EAA">
        <w:rPr>
          <w:rFonts w:ascii="Times New Roman" w:hAnsi="Times New Roman" w:cs="Times New Roman"/>
          <w:sz w:val="28"/>
          <w:szCs w:val="28"/>
        </w:rPr>
        <w:t xml:space="preserve">В 2010 в Новосибирске появилась гостиница </w:t>
      </w:r>
      <w:proofErr w:type="spellStart"/>
      <w:r w:rsidR="009A2AE4" w:rsidRPr="00666EAA">
        <w:rPr>
          <w:rFonts w:ascii="Times New Roman" w:hAnsi="Times New Roman" w:cs="Times New Roman"/>
          <w:sz w:val="28"/>
          <w:szCs w:val="28"/>
        </w:rPr>
        <w:t>Doubletree</w:t>
      </w:r>
      <w:proofErr w:type="spellEnd"/>
      <w:r w:rsidR="009A2AE4" w:rsidRPr="0066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AE4" w:rsidRPr="00666EAA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9A2AE4" w:rsidRPr="0066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AE4" w:rsidRPr="00666EAA">
        <w:rPr>
          <w:rFonts w:ascii="Times New Roman" w:hAnsi="Times New Roman" w:cs="Times New Roman"/>
          <w:sz w:val="28"/>
          <w:szCs w:val="28"/>
        </w:rPr>
        <w:t>Hilton</w:t>
      </w:r>
      <w:proofErr w:type="spellEnd"/>
      <w:r w:rsidR="009A2AE4" w:rsidRPr="0066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AE4" w:rsidRPr="00666EAA">
        <w:rPr>
          <w:rFonts w:ascii="Times New Roman" w:hAnsi="Times New Roman" w:cs="Times New Roman"/>
          <w:sz w:val="28"/>
          <w:szCs w:val="28"/>
        </w:rPr>
        <w:t>Novosibirsk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2AE4" w:rsidRPr="00666EAA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spellStart"/>
      <w:r w:rsidRPr="00666EAA">
        <w:rPr>
          <w:rFonts w:ascii="Times New Roman" w:hAnsi="Times New Roman" w:cs="Times New Roman"/>
          <w:sz w:val="28"/>
          <w:szCs w:val="28"/>
        </w:rPr>
        <w:t>франчайзинговые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сети охватывают все страны и континенты мира. Он применяется более чем в 70 отраслях хозяйства, внедряя единые технологии, цены и стандарты обслуживания.</w:t>
      </w:r>
    </w:p>
    <w:p w:rsidR="009A2AE4" w:rsidRPr="00666EAA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lastRenderedPageBreak/>
        <w:t>В Европе функционируют 4500 фр</w:t>
      </w:r>
      <w:r w:rsidR="00CB7D1A">
        <w:rPr>
          <w:rFonts w:ascii="Times New Roman" w:hAnsi="Times New Roman" w:cs="Times New Roman"/>
          <w:sz w:val="28"/>
          <w:szCs w:val="28"/>
        </w:rPr>
        <w:t>аншиз, у каждой</w:t>
      </w:r>
      <w:r w:rsidRPr="00666EAA">
        <w:rPr>
          <w:rFonts w:ascii="Times New Roman" w:hAnsi="Times New Roman" w:cs="Times New Roman"/>
          <w:sz w:val="28"/>
          <w:szCs w:val="28"/>
        </w:rPr>
        <w:t xml:space="preserve"> 37 партнеров, их общий товарооборот составляет 150 млрд $. </w:t>
      </w:r>
      <w:r w:rsidR="00CB7D1A">
        <w:rPr>
          <w:rFonts w:ascii="Times New Roman" w:hAnsi="Times New Roman" w:cs="Times New Roman"/>
          <w:sz w:val="28"/>
          <w:szCs w:val="28"/>
        </w:rPr>
        <w:t>Однако</w:t>
      </w:r>
      <w:r w:rsidRPr="00666EAA">
        <w:rPr>
          <w:rFonts w:ascii="Times New Roman" w:hAnsi="Times New Roman" w:cs="Times New Roman"/>
          <w:sz w:val="28"/>
          <w:szCs w:val="28"/>
        </w:rPr>
        <w:t xml:space="preserve">, </w:t>
      </w:r>
      <w:r w:rsidR="00CB7D1A">
        <w:rPr>
          <w:rFonts w:ascii="Times New Roman" w:hAnsi="Times New Roman" w:cs="Times New Roman"/>
          <w:sz w:val="28"/>
          <w:szCs w:val="28"/>
        </w:rPr>
        <w:t>уровень</w:t>
      </w:r>
      <w:r w:rsidRPr="00666EAA">
        <w:rPr>
          <w:rFonts w:ascii="Times New Roman" w:hAnsi="Times New Roman" w:cs="Times New Roman"/>
          <w:sz w:val="28"/>
          <w:szCs w:val="28"/>
        </w:rPr>
        <w:t xml:space="preserve"> развития франчайзинга в Европе ниже, чем в США, где объем сделок </w:t>
      </w:r>
      <w:r w:rsidR="00CB7D1A">
        <w:rPr>
          <w:rFonts w:ascii="Times New Roman" w:hAnsi="Times New Roman" w:cs="Times New Roman"/>
          <w:sz w:val="28"/>
          <w:szCs w:val="28"/>
        </w:rPr>
        <w:t>на этом рынке более</w:t>
      </w:r>
      <w:r w:rsidRPr="00666EAA">
        <w:rPr>
          <w:rFonts w:ascii="Times New Roman" w:hAnsi="Times New Roman" w:cs="Times New Roman"/>
          <w:sz w:val="28"/>
          <w:szCs w:val="28"/>
        </w:rPr>
        <w:t xml:space="preserve"> 800 млрд $. </w:t>
      </w:r>
    </w:p>
    <w:p w:rsidR="009A2AE4" w:rsidRPr="00666EAA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 xml:space="preserve">Лидером по количеству </w:t>
      </w:r>
      <w:proofErr w:type="spellStart"/>
      <w:r w:rsidRPr="00666EAA">
        <w:rPr>
          <w:rFonts w:ascii="Times New Roman" w:hAnsi="Times New Roman" w:cs="Times New Roman"/>
          <w:sz w:val="28"/>
          <w:szCs w:val="28"/>
        </w:rPr>
        <w:t>франчайзеров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</w:t>
      </w:r>
      <w:r w:rsidR="00CB7D1A">
        <w:rPr>
          <w:rFonts w:ascii="Times New Roman" w:hAnsi="Times New Roman" w:cs="Times New Roman"/>
          <w:sz w:val="28"/>
          <w:szCs w:val="28"/>
        </w:rPr>
        <w:t xml:space="preserve">в Европе </w:t>
      </w:r>
      <w:r w:rsidRPr="00666EAA">
        <w:rPr>
          <w:rFonts w:ascii="Times New Roman" w:hAnsi="Times New Roman" w:cs="Times New Roman"/>
          <w:sz w:val="28"/>
          <w:szCs w:val="28"/>
        </w:rPr>
        <w:t>является Франция. На втором месте находится Германия. Замыкает тройку Великобритания. Россия входит в десятку лидирующих стран, занимая 7 место.</w:t>
      </w:r>
    </w:p>
    <w:p w:rsidR="009A2AE4" w:rsidRPr="00666EAA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 xml:space="preserve">Франчайзинг — локомотив американской экономики и одно из эффективных средств </w:t>
      </w:r>
      <w:r w:rsidR="00CB7D1A">
        <w:rPr>
          <w:rFonts w:ascii="Times New Roman" w:hAnsi="Times New Roman" w:cs="Times New Roman"/>
          <w:sz w:val="28"/>
          <w:szCs w:val="28"/>
        </w:rPr>
        <w:t>нейтрализации последствий</w:t>
      </w:r>
      <w:r w:rsidRPr="00666EAA">
        <w:rPr>
          <w:rFonts w:ascii="Times New Roman" w:hAnsi="Times New Roman" w:cs="Times New Roman"/>
          <w:sz w:val="28"/>
          <w:szCs w:val="28"/>
        </w:rPr>
        <w:t xml:space="preserve"> мирового экономического кризиса</w:t>
      </w:r>
      <w:r w:rsidR="00CB7D1A">
        <w:rPr>
          <w:rFonts w:ascii="Times New Roman" w:hAnsi="Times New Roman" w:cs="Times New Roman"/>
          <w:sz w:val="28"/>
          <w:szCs w:val="28"/>
        </w:rPr>
        <w:t>, включает:</w:t>
      </w:r>
    </w:p>
    <w:p w:rsidR="009A2AE4" w:rsidRPr="00666EAA" w:rsidRDefault="00CB7D1A" w:rsidP="009A2AE4">
      <w:pPr>
        <w:widowControl w:val="0"/>
        <w:numPr>
          <w:ilvl w:val="0"/>
          <w:numId w:val="38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909 253 точек</w:t>
      </w:r>
      <w:r w:rsidR="009A2AE4" w:rsidRPr="00666EAA">
        <w:rPr>
          <w:rFonts w:ascii="Times New Roman" w:hAnsi="Times New Roman" w:cs="Times New Roman"/>
          <w:sz w:val="28"/>
          <w:szCs w:val="28"/>
        </w:rPr>
        <w:t>;</w:t>
      </w:r>
    </w:p>
    <w:p w:rsidR="009A2AE4" w:rsidRPr="00666EAA" w:rsidRDefault="009A2AE4" w:rsidP="009A2AE4">
      <w:pPr>
        <w:widowControl w:val="0"/>
        <w:numPr>
          <w:ilvl w:val="0"/>
          <w:numId w:val="38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EAA">
        <w:rPr>
          <w:rFonts w:ascii="Times New Roman" w:hAnsi="Times New Roman" w:cs="Times New Roman"/>
          <w:sz w:val="28"/>
          <w:szCs w:val="28"/>
        </w:rPr>
        <w:t>производят</w:t>
      </w:r>
      <w:proofErr w:type="gramEnd"/>
      <w:r w:rsidRPr="00666EAA">
        <w:rPr>
          <w:rFonts w:ascii="Times New Roman" w:hAnsi="Times New Roman" w:cs="Times New Roman"/>
          <w:sz w:val="28"/>
          <w:szCs w:val="28"/>
        </w:rPr>
        <w:t xml:space="preserve"> товаров и услуг на сумму 880 900 млн. </w:t>
      </w:r>
      <w:r w:rsidR="00DD58E0">
        <w:rPr>
          <w:rFonts w:ascii="Times New Roman" w:hAnsi="Times New Roman" w:cs="Times New Roman"/>
          <w:sz w:val="28"/>
          <w:szCs w:val="28"/>
        </w:rPr>
        <w:t>;</w:t>
      </w:r>
    </w:p>
    <w:p w:rsidR="009A2AE4" w:rsidRPr="00666EAA" w:rsidRDefault="009A2AE4" w:rsidP="009A2AE4">
      <w:pPr>
        <w:widowControl w:val="0"/>
        <w:numPr>
          <w:ilvl w:val="0"/>
          <w:numId w:val="38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EAA">
        <w:rPr>
          <w:rFonts w:ascii="Times New Roman" w:hAnsi="Times New Roman" w:cs="Times New Roman"/>
          <w:sz w:val="28"/>
          <w:szCs w:val="28"/>
        </w:rPr>
        <w:t>обеспечивают</w:t>
      </w:r>
      <w:proofErr w:type="gramEnd"/>
      <w:r w:rsidRPr="00666EAA">
        <w:rPr>
          <w:rFonts w:ascii="Times New Roman" w:hAnsi="Times New Roman" w:cs="Times New Roman"/>
          <w:sz w:val="28"/>
          <w:szCs w:val="28"/>
        </w:rPr>
        <w:t xml:space="preserve"> почти 21 млн. рабочих мест, или 15,3 % всех рабочих мест в американском частном секторе.</w:t>
      </w:r>
    </w:p>
    <w:p w:rsidR="009A2AE4" w:rsidRPr="00666EAA" w:rsidRDefault="009A2AE4" w:rsidP="009A2AE4">
      <w:pPr>
        <w:widowControl w:val="0"/>
        <w:numPr>
          <w:ilvl w:val="0"/>
          <w:numId w:val="38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EAA">
        <w:rPr>
          <w:rFonts w:ascii="Times New Roman" w:hAnsi="Times New Roman" w:cs="Times New Roman"/>
          <w:sz w:val="28"/>
          <w:szCs w:val="28"/>
        </w:rPr>
        <w:t>выплачивают</w:t>
      </w:r>
      <w:proofErr w:type="gramEnd"/>
      <w:r w:rsidRPr="00666EAA">
        <w:rPr>
          <w:rFonts w:ascii="Times New Roman" w:hAnsi="Times New Roman" w:cs="Times New Roman"/>
          <w:sz w:val="28"/>
          <w:szCs w:val="28"/>
        </w:rPr>
        <w:t xml:space="preserve"> 660 900 млн</w:t>
      </w:r>
      <w:r w:rsidR="00DD58E0">
        <w:rPr>
          <w:rFonts w:ascii="Times New Roman" w:hAnsi="Times New Roman" w:cs="Times New Roman"/>
          <w:sz w:val="28"/>
          <w:szCs w:val="28"/>
        </w:rPr>
        <w:t>. $ ежегодной заработной платы.</w:t>
      </w:r>
    </w:p>
    <w:p w:rsidR="00DD58E0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 xml:space="preserve">Годовой объём производства </w:t>
      </w:r>
      <w:proofErr w:type="spellStart"/>
      <w:r w:rsidRPr="00666EAA">
        <w:rPr>
          <w:rFonts w:ascii="Times New Roman" w:hAnsi="Times New Roman" w:cs="Times New Roman"/>
          <w:sz w:val="28"/>
          <w:szCs w:val="28"/>
        </w:rPr>
        <w:t>франчайзинговых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40720E">
        <w:rPr>
          <w:rFonts w:ascii="Times New Roman" w:hAnsi="Times New Roman" w:cs="Times New Roman"/>
          <w:sz w:val="28"/>
          <w:szCs w:val="28"/>
        </w:rPr>
        <w:t xml:space="preserve"> в США</w:t>
      </w:r>
      <w:r w:rsidRPr="00666EAA">
        <w:rPr>
          <w:rFonts w:ascii="Times New Roman" w:hAnsi="Times New Roman" w:cs="Times New Roman"/>
          <w:sz w:val="28"/>
          <w:szCs w:val="28"/>
        </w:rPr>
        <w:t xml:space="preserve"> — 2,31 триллиона $. </w:t>
      </w:r>
    </w:p>
    <w:p w:rsidR="009A2AE4" w:rsidRDefault="009A2AE4" w:rsidP="00DD58E0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 xml:space="preserve">В развивающихся странах Украине, Словакии, Польше, Венгрии и Чехии за последние несколько лет количество предприятий, работающих по франшизе, выросло на 67%. </w:t>
      </w:r>
      <w:r w:rsidR="00DD58E0">
        <w:rPr>
          <w:rFonts w:ascii="Times New Roman" w:hAnsi="Times New Roman" w:cs="Times New Roman"/>
          <w:sz w:val="28"/>
          <w:szCs w:val="28"/>
        </w:rPr>
        <w:t>Лидируют</w:t>
      </w:r>
      <w:r w:rsidRPr="00666EAA">
        <w:rPr>
          <w:rFonts w:ascii="Times New Roman" w:hAnsi="Times New Roman" w:cs="Times New Roman"/>
          <w:sz w:val="28"/>
          <w:szCs w:val="28"/>
        </w:rPr>
        <w:t xml:space="preserve"> отрасли, связанные с торговлей, автосервисами, недвижимостью, отелями, ресторанами быстрого обслуживания. </w:t>
      </w:r>
    </w:p>
    <w:p w:rsidR="009A2AE4" w:rsidRPr="00666EAA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 xml:space="preserve">Таким образом, в Европе прослеживаются закономерности, во многом аналогичные мировым. По количеству </w:t>
      </w:r>
      <w:proofErr w:type="spellStart"/>
      <w:r w:rsidRPr="00666EAA">
        <w:rPr>
          <w:rFonts w:ascii="Times New Roman" w:hAnsi="Times New Roman" w:cs="Times New Roman"/>
          <w:sz w:val="28"/>
          <w:szCs w:val="28"/>
        </w:rPr>
        <w:t>франчайзинговых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точек в Европе первое место занимает США, в 4,9 раз опережая Францию</w:t>
      </w:r>
      <w:r w:rsidR="0040720E">
        <w:rPr>
          <w:rFonts w:ascii="Times New Roman" w:hAnsi="Times New Roman" w:cs="Times New Roman"/>
          <w:sz w:val="28"/>
          <w:szCs w:val="28"/>
        </w:rPr>
        <w:t>.</w:t>
      </w:r>
    </w:p>
    <w:p w:rsidR="009A2AE4" w:rsidRPr="00666EAA" w:rsidRDefault="009A2AE4" w:rsidP="00535B49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 xml:space="preserve">Наибольшей популярностью в Европе пользуются франшизы в </w:t>
      </w:r>
      <w:r w:rsidR="0040720E"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666EAA">
        <w:rPr>
          <w:rFonts w:ascii="Times New Roman" w:hAnsi="Times New Roman" w:cs="Times New Roman"/>
          <w:sz w:val="28"/>
          <w:szCs w:val="28"/>
        </w:rPr>
        <w:t>общественного питания (145 623 точек), на 43% опережая продовольственную розницу (82 686 точка). В с</w:t>
      </w:r>
      <w:r w:rsidR="0040720E">
        <w:rPr>
          <w:rFonts w:ascii="Times New Roman" w:hAnsi="Times New Roman" w:cs="Times New Roman"/>
          <w:sz w:val="28"/>
          <w:szCs w:val="28"/>
        </w:rPr>
        <w:t>умме</w:t>
      </w:r>
      <w:r w:rsidRPr="00666EAA">
        <w:rPr>
          <w:rFonts w:ascii="Times New Roman" w:hAnsi="Times New Roman" w:cs="Times New Roman"/>
          <w:sz w:val="28"/>
          <w:szCs w:val="28"/>
        </w:rPr>
        <w:t xml:space="preserve"> на эти отрасли приходится половина европейск</w:t>
      </w:r>
      <w:r w:rsidR="00DD58E0">
        <w:rPr>
          <w:rFonts w:ascii="Times New Roman" w:hAnsi="Times New Roman" w:cs="Times New Roman"/>
          <w:sz w:val="28"/>
          <w:szCs w:val="28"/>
        </w:rPr>
        <w:t>ого франчайзинга.</w:t>
      </w:r>
    </w:p>
    <w:p w:rsidR="009A2AE4" w:rsidRPr="00535B49" w:rsidRDefault="009A2AE4" w:rsidP="00535B49">
      <w:pPr>
        <w:widowControl w:val="0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6EA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0C8D36" wp14:editId="59920D4F">
            <wp:extent cx="5996763" cy="1648047"/>
            <wp:effectExtent l="0" t="0" r="4445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35B49" w:rsidRDefault="009A2AE4" w:rsidP="00535B4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B49">
        <w:rPr>
          <w:rFonts w:ascii="Times New Roman" w:hAnsi="Times New Roman" w:cs="Times New Roman"/>
          <w:b/>
          <w:i/>
          <w:sz w:val="28"/>
          <w:szCs w:val="28"/>
        </w:rPr>
        <w:t xml:space="preserve">Рисунок </w:t>
      </w:r>
      <w:r w:rsidR="00DD58E0" w:rsidRPr="00535B49">
        <w:rPr>
          <w:rFonts w:ascii="Times New Roman" w:hAnsi="Times New Roman" w:cs="Times New Roman"/>
          <w:b/>
          <w:i/>
          <w:sz w:val="28"/>
          <w:szCs w:val="28"/>
        </w:rPr>
        <w:t>18</w:t>
      </w:r>
      <w:r w:rsidR="00535B4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35B49">
        <w:rPr>
          <w:rFonts w:ascii="Times New Roman" w:hAnsi="Times New Roman" w:cs="Times New Roman"/>
          <w:b/>
          <w:i/>
          <w:sz w:val="28"/>
          <w:szCs w:val="28"/>
        </w:rPr>
        <w:t xml:space="preserve"> ― Структура </w:t>
      </w:r>
      <w:proofErr w:type="spellStart"/>
      <w:r w:rsidRPr="00535B49">
        <w:rPr>
          <w:rFonts w:ascii="Times New Roman" w:hAnsi="Times New Roman" w:cs="Times New Roman"/>
          <w:b/>
          <w:i/>
          <w:sz w:val="28"/>
          <w:szCs w:val="28"/>
        </w:rPr>
        <w:t>франшизн</w:t>
      </w:r>
      <w:r w:rsidR="00535B49">
        <w:rPr>
          <w:rFonts w:ascii="Times New Roman" w:hAnsi="Times New Roman" w:cs="Times New Roman"/>
          <w:b/>
          <w:i/>
          <w:sz w:val="28"/>
          <w:szCs w:val="28"/>
        </w:rPr>
        <w:t>ых</w:t>
      </w:r>
      <w:proofErr w:type="spellEnd"/>
      <w:r w:rsidR="00535B49">
        <w:rPr>
          <w:rFonts w:ascii="Times New Roman" w:hAnsi="Times New Roman" w:cs="Times New Roman"/>
          <w:b/>
          <w:i/>
          <w:sz w:val="28"/>
          <w:szCs w:val="28"/>
        </w:rPr>
        <w:t xml:space="preserve"> рынков России, Европы и США</w:t>
      </w:r>
    </w:p>
    <w:p w:rsidR="009A2AE4" w:rsidRPr="00535B49" w:rsidRDefault="00535B49" w:rsidP="00535B49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9A2AE4" w:rsidRDefault="009A2AE4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>Таким образом, в странах с развитой системой франчайзинга преобладают франшизы в сфере услуг и общественного питания, тогда как в России, наоборот, данные сферы развиты слабо</w:t>
      </w:r>
      <w:r w:rsidR="00DD58E0">
        <w:rPr>
          <w:rFonts w:ascii="Times New Roman" w:hAnsi="Times New Roman" w:cs="Times New Roman"/>
          <w:sz w:val="28"/>
          <w:szCs w:val="28"/>
        </w:rPr>
        <w:t>, а преимущество отдается сфере</w:t>
      </w:r>
      <w:r w:rsidRPr="00666EAA">
        <w:rPr>
          <w:rFonts w:ascii="Times New Roman" w:hAnsi="Times New Roman" w:cs="Times New Roman"/>
          <w:sz w:val="28"/>
          <w:szCs w:val="28"/>
        </w:rPr>
        <w:t xml:space="preserve"> торговли, особенно непродо</w:t>
      </w:r>
      <w:r w:rsidR="00DD58E0">
        <w:rPr>
          <w:rFonts w:ascii="Times New Roman" w:hAnsi="Times New Roman" w:cs="Times New Roman"/>
          <w:sz w:val="28"/>
          <w:szCs w:val="28"/>
        </w:rPr>
        <w:t>вольственной рознице (Рисунок 18</w:t>
      </w:r>
      <w:r w:rsidRPr="00666EAA">
        <w:rPr>
          <w:rFonts w:ascii="Times New Roman" w:hAnsi="Times New Roman" w:cs="Times New Roman"/>
          <w:sz w:val="28"/>
          <w:szCs w:val="28"/>
        </w:rPr>
        <w:t>).</w:t>
      </w:r>
    </w:p>
    <w:p w:rsidR="00DD58E0" w:rsidRPr="00666EAA" w:rsidRDefault="00DD58E0" w:rsidP="009A2AE4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анализ свидетельствует </w:t>
      </w:r>
      <w:r w:rsidR="0040720E">
        <w:rPr>
          <w:rFonts w:ascii="Times New Roman" w:hAnsi="Times New Roman" w:cs="Times New Roman"/>
          <w:sz w:val="28"/>
          <w:szCs w:val="28"/>
        </w:rPr>
        <w:t>о плюсах и минусах франчайзинга</w:t>
      </w:r>
      <w:r>
        <w:rPr>
          <w:rFonts w:ascii="Times New Roman" w:hAnsi="Times New Roman" w:cs="Times New Roman"/>
          <w:sz w:val="28"/>
          <w:szCs w:val="28"/>
        </w:rPr>
        <w:t xml:space="preserve"> как бизнес-механизма. Однако, как свидетельствуют данные международной статистики, процесс развития ф</w:t>
      </w:r>
      <w:r w:rsidR="005E7E9F">
        <w:rPr>
          <w:rFonts w:ascii="Times New Roman" w:hAnsi="Times New Roman" w:cs="Times New Roman"/>
          <w:sz w:val="28"/>
          <w:szCs w:val="28"/>
        </w:rPr>
        <w:t>ранчайзинга высоко динамичен. Развитие современных видов и инструментов бизнеса в условиях экономической глобализации, является объективным процессом.</w:t>
      </w:r>
    </w:p>
    <w:p w:rsidR="009A2AE4" w:rsidRPr="00666EAA" w:rsidRDefault="009A2AE4" w:rsidP="009A2AE4">
      <w:pPr>
        <w:widowControl w:val="0"/>
        <w:tabs>
          <w:tab w:val="left" w:pos="1664"/>
          <w:tab w:val="left" w:pos="5626"/>
        </w:tabs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tab/>
      </w:r>
    </w:p>
    <w:p w:rsidR="00B81E58" w:rsidRDefault="0074378C" w:rsidP="0074378C">
      <w:pPr>
        <w:keepNext/>
        <w:keepLines/>
        <w:widowControl w:val="0"/>
        <w:spacing w:after="0" w:line="312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ru"/>
        </w:rPr>
      </w:pPr>
      <w:r w:rsidRPr="0074378C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ru"/>
        </w:rPr>
        <w:t>Литература</w:t>
      </w:r>
    </w:p>
    <w:p w:rsidR="007A6291" w:rsidRPr="007A6291" w:rsidRDefault="007A6291" w:rsidP="007A6291">
      <w:pPr>
        <w:pStyle w:val="af3"/>
        <w:widowControl w:val="0"/>
        <w:numPr>
          <w:ilvl w:val="0"/>
          <w:numId w:val="48"/>
        </w:numPr>
        <w:spacing w:line="312" w:lineRule="auto"/>
        <w:rPr>
          <w:rFonts w:cs="Times New Roman"/>
          <w:szCs w:val="28"/>
        </w:rPr>
      </w:pPr>
      <w:bookmarkStart w:id="2" w:name="_Ref355631340"/>
      <w:r w:rsidRPr="007A6291">
        <w:rPr>
          <w:rFonts w:cs="Times New Roman"/>
          <w:szCs w:val="28"/>
        </w:rPr>
        <w:t xml:space="preserve">Ватутин С., Тришин М. -Клонирование бизнеса. Франчайзинг и другие модели быстрого роста / </w:t>
      </w:r>
      <w:proofErr w:type="gramStart"/>
      <w:r w:rsidRPr="007A6291">
        <w:rPr>
          <w:rFonts w:cs="Times New Roman"/>
          <w:szCs w:val="28"/>
        </w:rPr>
        <w:t>СПб.:</w:t>
      </w:r>
      <w:proofErr w:type="gramEnd"/>
      <w:r w:rsidRPr="007A6291">
        <w:rPr>
          <w:rFonts w:cs="Times New Roman"/>
          <w:szCs w:val="28"/>
        </w:rPr>
        <w:t xml:space="preserve"> Питер, 2013</w:t>
      </w:r>
      <w:bookmarkEnd w:id="2"/>
    </w:p>
    <w:p w:rsidR="007A6291" w:rsidRPr="00666EAA" w:rsidRDefault="007A6291" w:rsidP="007A6291">
      <w:pPr>
        <w:widowControl w:val="0"/>
        <w:numPr>
          <w:ilvl w:val="0"/>
          <w:numId w:val="4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355632091"/>
      <w:r w:rsidRPr="00666EAA">
        <w:rPr>
          <w:rFonts w:ascii="Times New Roman" w:hAnsi="Times New Roman" w:cs="Times New Roman"/>
          <w:sz w:val="28"/>
          <w:szCs w:val="28"/>
        </w:rPr>
        <w:t>Вахрушева С. Бизнес под копирку // Практика торговли. – 2012. - №7. – С. 43.</w:t>
      </w:r>
      <w:bookmarkEnd w:id="3"/>
    </w:p>
    <w:p w:rsidR="007A6291" w:rsidRPr="00666EAA" w:rsidRDefault="007A6291" w:rsidP="007A6291">
      <w:pPr>
        <w:widowControl w:val="0"/>
        <w:numPr>
          <w:ilvl w:val="0"/>
          <w:numId w:val="4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355637118"/>
      <w:proofErr w:type="spellStart"/>
      <w:r w:rsidRPr="00666EAA">
        <w:rPr>
          <w:rFonts w:ascii="Times New Roman" w:hAnsi="Times New Roman" w:cs="Times New Roman"/>
          <w:sz w:val="28"/>
          <w:szCs w:val="28"/>
        </w:rPr>
        <w:t>Грибцова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666EAA">
        <w:rPr>
          <w:rFonts w:ascii="Times New Roman" w:hAnsi="Times New Roman" w:cs="Times New Roman"/>
          <w:sz w:val="28"/>
          <w:szCs w:val="28"/>
        </w:rPr>
        <w:t>McDonald’s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начинает работать в России по франчайзингу\\ Ведомости. – 2012. – 13 апр. - №. – С. 12.</w:t>
      </w:r>
      <w:bookmarkEnd w:id="4"/>
    </w:p>
    <w:p w:rsidR="007A6291" w:rsidRPr="00666EAA" w:rsidRDefault="007A6291" w:rsidP="007A6291">
      <w:pPr>
        <w:widowControl w:val="0"/>
        <w:numPr>
          <w:ilvl w:val="0"/>
          <w:numId w:val="4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355635446"/>
      <w:proofErr w:type="spellStart"/>
      <w:r w:rsidRPr="00666EAA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Н. Франшизы от </w:t>
      </w:r>
      <w:proofErr w:type="spellStart"/>
      <w:r w:rsidRPr="00666EAA">
        <w:rPr>
          <w:rFonts w:ascii="Times New Roman" w:hAnsi="Times New Roman" w:cs="Times New Roman"/>
          <w:sz w:val="28"/>
          <w:szCs w:val="28"/>
        </w:rPr>
        <w:t>оптных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компаний // Клуб </w:t>
      </w:r>
      <w:proofErr w:type="spellStart"/>
      <w:r w:rsidRPr="00666EAA">
        <w:rPr>
          <w:rFonts w:ascii="Times New Roman" w:hAnsi="Times New Roman" w:cs="Times New Roman"/>
          <w:sz w:val="28"/>
          <w:szCs w:val="28"/>
        </w:rPr>
        <w:t>франчайзи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>. – 2013 - №1 – С.5</w:t>
      </w:r>
      <w:bookmarkEnd w:id="5"/>
    </w:p>
    <w:p w:rsidR="007A6291" w:rsidRPr="00666EAA" w:rsidRDefault="007A6291" w:rsidP="007A6291">
      <w:pPr>
        <w:widowControl w:val="0"/>
        <w:numPr>
          <w:ilvl w:val="0"/>
          <w:numId w:val="4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EAA">
        <w:rPr>
          <w:rFonts w:ascii="Times New Roman" w:hAnsi="Times New Roman" w:cs="Times New Roman"/>
          <w:sz w:val="28"/>
          <w:szCs w:val="28"/>
        </w:rPr>
        <w:t>Крякова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Н. Догоним и перегоним. Каким будет российский франчайзинг через десять лет// Бизнес-Журнал. – 2012. - №2. – С. 38.</w:t>
      </w:r>
    </w:p>
    <w:p w:rsidR="007A6291" w:rsidRPr="00666EAA" w:rsidRDefault="007A6291" w:rsidP="007A6291">
      <w:pPr>
        <w:widowControl w:val="0"/>
        <w:numPr>
          <w:ilvl w:val="0"/>
          <w:numId w:val="4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355642633"/>
      <w:proofErr w:type="spellStart"/>
      <w:r w:rsidRPr="00666EAA">
        <w:rPr>
          <w:rFonts w:ascii="Times New Roman" w:hAnsi="Times New Roman" w:cs="Times New Roman"/>
          <w:sz w:val="28"/>
          <w:szCs w:val="28"/>
        </w:rPr>
        <w:t>Либинсон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А. В России пришло время строить отели с доступной ценой» // Современный бизнес. Отель. – 2012 - №7</w:t>
      </w:r>
      <w:bookmarkEnd w:id="6"/>
    </w:p>
    <w:p w:rsidR="007A6291" w:rsidRPr="00666EAA" w:rsidRDefault="007A6291" w:rsidP="007A6291">
      <w:pPr>
        <w:widowControl w:val="0"/>
        <w:numPr>
          <w:ilvl w:val="0"/>
          <w:numId w:val="4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355633911"/>
      <w:r w:rsidRPr="00666EAA">
        <w:rPr>
          <w:rFonts w:ascii="Times New Roman" w:hAnsi="Times New Roman" w:cs="Times New Roman"/>
          <w:sz w:val="28"/>
          <w:szCs w:val="28"/>
        </w:rPr>
        <w:t>Николаева И. В России бум франшиз // Деловой Квартал. – 2012. - №8. – С. 24.</w:t>
      </w:r>
      <w:bookmarkEnd w:id="7"/>
    </w:p>
    <w:p w:rsidR="007A6291" w:rsidRPr="00666EAA" w:rsidRDefault="007A6291" w:rsidP="007A6291">
      <w:pPr>
        <w:widowControl w:val="0"/>
        <w:numPr>
          <w:ilvl w:val="0"/>
          <w:numId w:val="4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355634721"/>
      <w:r w:rsidRPr="00666EAA">
        <w:rPr>
          <w:rFonts w:ascii="Times New Roman" w:hAnsi="Times New Roman" w:cs="Times New Roman"/>
          <w:sz w:val="28"/>
          <w:szCs w:val="28"/>
        </w:rPr>
        <w:lastRenderedPageBreak/>
        <w:t>Панюкова В.В. Уверенные шаги франчайзинга в России // Торговое право. - 2012. - № 3. - C. 50-64</w:t>
      </w:r>
      <w:bookmarkEnd w:id="8"/>
    </w:p>
    <w:p w:rsidR="007A6291" w:rsidRPr="00666EAA" w:rsidRDefault="007A6291" w:rsidP="007A6291">
      <w:pPr>
        <w:widowControl w:val="0"/>
        <w:numPr>
          <w:ilvl w:val="0"/>
          <w:numId w:val="4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355635662"/>
      <w:r w:rsidRPr="00666EAA">
        <w:rPr>
          <w:rFonts w:ascii="Times New Roman" w:hAnsi="Times New Roman" w:cs="Times New Roman"/>
          <w:sz w:val="28"/>
          <w:szCs w:val="28"/>
        </w:rPr>
        <w:t>Рождественская А. Российский франчайзинг: итоги 2012 года // Бизнес-журнал. – 2012. - №12. – С. 18.</w:t>
      </w:r>
      <w:bookmarkEnd w:id="9"/>
    </w:p>
    <w:p w:rsidR="00A25284" w:rsidRPr="00666EAA" w:rsidRDefault="00A25284" w:rsidP="00A25284">
      <w:pPr>
        <w:widowControl w:val="0"/>
        <w:numPr>
          <w:ilvl w:val="0"/>
          <w:numId w:val="4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355635754"/>
      <w:proofErr w:type="spellStart"/>
      <w:r w:rsidRPr="00666EAA">
        <w:rPr>
          <w:rFonts w:ascii="Times New Roman" w:hAnsi="Times New Roman" w:cs="Times New Roman"/>
          <w:sz w:val="28"/>
          <w:szCs w:val="28"/>
        </w:rPr>
        <w:t>Следина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А. Бюджетные франшизы на рынке франчайзинга // Бизнес-журнал. – 2012. - №5. – С. 12.</w:t>
      </w:r>
      <w:bookmarkEnd w:id="10"/>
    </w:p>
    <w:p w:rsidR="00A25284" w:rsidRPr="00666EAA" w:rsidRDefault="00A25284" w:rsidP="00A25284">
      <w:pPr>
        <w:widowControl w:val="0"/>
        <w:numPr>
          <w:ilvl w:val="0"/>
          <w:numId w:val="4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355613343"/>
      <w:r w:rsidRPr="00666EAA">
        <w:rPr>
          <w:rFonts w:ascii="Times New Roman" w:hAnsi="Times New Roman" w:cs="Times New Roman"/>
          <w:sz w:val="28"/>
          <w:szCs w:val="28"/>
        </w:rPr>
        <w:t xml:space="preserve">Смирнова Н, Парабеллум А., </w:t>
      </w:r>
      <w:proofErr w:type="spellStart"/>
      <w:r w:rsidRPr="00666EAA">
        <w:rPr>
          <w:rFonts w:ascii="Times New Roman" w:hAnsi="Times New Roman" w:cs="Times New Roman"/>
          <w:sz w:val="28"/>
          <w:szCs w:val="28"/>
        </w:rPr>
        <w:t>Мрочковский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Н. Масштабирование бизнеса. Создаем франчайзинг в розничной торговле / </w:t>
      </w:r>
      <w:proofErr w:type="gramStart"/>
      <w:r w:rsidRPr="00666EAA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666EAA">
        <w:rPr>
          <w:rFonts w:ascii="Times New Roman" w:hAnsi="Times New Roman" w:cs="Times New Roman"/>
          <w:sz w:val="28"/>
          <w:szCs w:val="28"/>
        </w:rPr>
        <w:t xml:space="preserve"> Питер, 2013 - 336 с.</w:t>
      </w:r>
      <w:bookmarkEnd w:id="11"/>
      <w:r w:rsidRPr="00666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284" w:rsidRPr="00666EAA" w:rsidRDefault="00A25284" w:rsidP="00A25284">
      <w:pPr>
        <w:widowControl w:val="0"/>
        <w:numPr>
          <w:ilvl w:val="0"/>
          <w:numId w:val="4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355632456"/>
      <w:r w:rsidRPr="00666EAA">
        <w:rPr>
          <w:rFonts w:ascii="Times New Roman" w:hAnsi="Times New Roman" w:cs="Times New Roman"/>
          <w:sz w:val="28"/>
          <w:szCs w:val="28"/>
        </w:rPr>
        <w:t xml:space="preserve">Тараканов В. Франчайзинг в </w:t>
      </w:r>
      <w:proofErr w:type="spellStart"/>
      <w:r w:rsidRPr="00666EAA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>-ритейле - антрепренерский бизнес // Практика торговли. – 2012. - №6. – С. 38.</w:t>
      </w:r>
      <w:bookmarkEnd w:id="12"/>
    </w:p>
    <w:p w:rsidR="00A25284" w:rsidRPr="00666EAA" w:rsidRDefault="00A25284" w:rsidP="00A25284">
      <w:pPr>
        <w:widowControl w:val="0"/>
        <w:numPr>
          <w:ilvl w:val="0"/>
          <w:numId w:val="4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355644661"/>
      <w:r w:rsidRPr="00666EAA">
        <w:rPr>
          <w:rFonts w:ascii="Times New Roman" w:hAnsi="Times New Roman" w:cs="Times New Roman"/>
          <w:sz w:val="28"/>
          <w:szCs w:val="28"/>
        </w:rPr>
        <w:t xml:space="preserve">Чеканова С. Региональных </w:t>
      </w:r>
      <w:proofErr w:type="spellStart"/>
      <w:r w:rsidRPr="00666EAA">
        <w:rPr>
          <w:rFonts w:ascii="Times New Roman" w:hAnsi="Times New Roman" w:cs="Times New Roman"/>
          <w:sz w:val="28"/>
          <w:szCs w:val="28"/>
        </w:rPr>
        <w:t>франчайзинговых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компаний становится больше \\ Российская газета. – 2012. – 10 дек. - №46. – С. 14.</w:t>
      </w:r>
      <w:bookmarkEnd w:id="13"/>
    </w:p>
    <w:bookmarkStart w:id="14" w:name="_Ref355943515"/>
    <w:p w:rsidR="00A25284" w:rsidRPr="00666EAA" w:rsidRDefault="00A25284" w:rsidP="00A25284">
      <w:pPr>
        <w:widowControl w:val="0"/>
        <w:numPr>
          <w:ilvl w:val="0"/>
          <w:numId w:val="4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fldChar w:fldCharType="begin"/>
      </w:r>
      <w:r w:rsidRPr="00666EAA">
        <w:rPr>
          <w:rFonts w:ascii="Times New Roman" w:hAnsi="Times New Roman" w:cs="Times New Roman"/>
          <w:sz w:val="28"/>
          <w:szCs w:val="28"/>
        </w:rPr>
        <w:instrText xml:space="preserve"> HYPERLINK "http://www.franchiseeurope.com/top500/" </w:instrText>
      </w:r>
      <w:r w:rsidRPr="00666EAA">
        <w:rPr>
          <w:rFonts w:ascii="Times New Roman" w:hAnsi="Times New Roman" w:cs="Times New Roman"/>
          <w:sz w:val="28"/>
          <w:szCs w:val="28"/>
        </w:rPr>
        <w:fldChar w:fldCharType="separate"/>
      </w:r>
      <w:r w:rsidRPr="00666EAA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http://www.franchiseeurope.com/top500/</w:t>
      </w:r>
      <w:bookmarkEnd w:id="14"/>
      <w:r w:rsidRPr="00666EAA">
        <w:rPr>
          <w:rFonts w:ascii="Times New Roman" w:hAnsi="Times New Roman" w:cs="Times New Roman"/>
          <w:sz w:val="28"/>
          <w:szCs w:val="28"/>
        </w:rPr>
        <w:fldChar w:fldCharType="end"/>
      </w:r>
    </w:p>
    <w:bookmarkStart w:id="15" w:name="_Ref355943641"/>
    <w:p w:rsidR="00A25284" w:rsidRPr="00666EAA" w:rsidRDefault="00A25284" w:rsidP="00A25284">
      <w:pPr>
        <w:widowControl w:val="0"/>
        <w:numPr>
          <w:ilvl w:val="0"/>
          <w:numId w:val="4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 w:cs="Times New Roman"/>
          <w:sz w:val="28"/>
          <w:szCs w:val="28"/>
        </w:rPr>
        <w:fldChar w:fldCharType="begin"/>
      </w:r>
      <w:r w:rsidRPr="00666EAA">
        <w:rPr>
          <w:rFonts w:ascii="Times New Roman" w:hAnsi="Times New Roman" w:cs="Times New Roman"/>
          <w:sz w:val="28"/>
          <w:szCs w:val="28"/>
        </w:rPr>
        <w:instrText xml:space="preserve"> HYPERLINK "http://www.franchisedirect.com/top100globalfranchises/trendsandthingstowtren/158/1435/" </w:instrText>
      </w:r>
      <w:r w:rsidRPr="00666EAA">
        <w:rPr>
          <w:rFonts w:ascii="Times New Roman" w:hAnsi="Times New Roman" w:cs="Times New Roman"/>
          <w:sz w:val="28"/>
          <w:szCs w:val="28"/>
        </w:rPr>
        <w:fldChar w:fldCharType="separate"/>
      </w:r>
      <w:r w:rsidRPr="00666EAA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http://www.franchisedirect.com/top100globalfranchises/trendsandthingstowtren/158/1435/</w:t>
      </w:r>
      <w:r w:rsidRPr="00666EAA">
        <w:rPr>
          <w:rFonts w:ascii="Times New Roman" w:hAnsi="Times New Roman" w:cs="Times New Roman"/>
          <w:sz w:val="28"/>
          <w:szCs w:val="28"/>
        </w:rPr>
        <w:fldChar w:fldCharType="end"/>
      </w:r>
      <w:r w:rsidRPr="00666EAA">
        <w:rPr>
          <w:rFonts w:ascii="Times New Roman" w:hAnsi="Times New Roman" w:cs="Times New Roman"/>
          <w:sz w:val="28"/>
          <w:szCs w:val="28"/>
        </w:rPr>
        <w:t xml:space="preserve"> - Обзор рынка глобальных </w:t>
      </w:r>
      <w:proofErr w:type="spellStart"/>
      <w:r w:rsidRPr="00666EAA">
        <w:rPr>
          <w:rFonts w:ascii="Times New Roman" w:hAnsi="Times New Roman" w:cs="Times New Roman"/>
          <w:sz w:val="28"/>
          <w:szCs w:val="28"/>
        </w:rPr>
        <w:t>франчайзинговых</w:t>
      </w:r>
      <w:proofErr w:type="spellEnd"/>
      <w:r w:rsidRPr="00666EAA">
        <w:rPr>
          <w:rFonts w:ascii="Times New Roman" w:hAnsi="Times New Roman" w:cs="Times New Roman"/>
          <w:sz w:val="28"/>
          <w:szCs w:val="28"/>
        </w:rPr>
        <w:t xml:space="preserve"> компаний</w:t>
      </w:r>
      <w:bookmarkEnd w:id="15"/>
    </w:p>
    <w:bookmarkStart w:id="16" w:name="_Ref355634288"/>
    <w:p w:rsidR="00A25284" w:rsidRPr="00666EAA" w:rsidRDefault="00A25284" w:rsidP="00A25284">
      <w:pPr>
        <w:widowControl w:val="0"/>
        <w:numPr>
          <w:ilvl w:val="0"/>
          <w:numId w:val="4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AA">
        <w:rPr>
          <w:rFonts w:ascii="Times New Roman" w:hAnsi="Times New Roman"/>
          <w:sz w:val="28"/>
        </w:rPr>
        <w:fldChar w:fldCharType="begin"/>
      </w:r>
      <w:r w:rsidRPr="00666EAA">
        <w:rPr>
          <w:rFonts w:ascii="Times New Roman" w:hAnsi="Times New Roman"/>
          <w:sz w:val="28"/>
        </w:rPr>
        <w:instrText xml:space="preserve"> HYPERLINK "http://www.rusfranch.ru/index.html" </w:instrText>
      </w:r>
      <w:r w:rsidRPr="00666EAA">
        <w:rPr>
          <w:rFonts w:ascii="Times New Roman" w:hAnsi="Times New Roman"/>
          <w:sz w:val="28"/>
        </w:rPr>
        <w:fldChar w:fldCharType="separate"/>
      </w:r>
      <w:r w:rsidRPr="00666EAA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http://www.rusfranch.ru/index.html</w:t>
      </w:r>
      <w:r w:rsidRPr="00666EAA">
        <w:rPr>
          <w:rFonts w:ascii="Times New Roman" w:hAnsi="Times New Roman" w:cs="Times New Roman"/>
          <w:color w:val="0000FF"/>
          <w:sz w:val="28"/>
          <w:szCs w:val="28"/>
          <w:u w:val="single"/>
        </w:rPr>
        <w:fldChar w:fldCharType="end"/>
      </w:r>
      <w:r w:rsidRPr="00666EAA">
        <w:rPr>
          <w:rFonts w:ascii="Times New Roman" w:hAnsi="Times New Roman" w:cs="Times New Roman"/>
          <w:sz w:val="28"/>
          <w:szCs w:val="28"/>
        </w:rPr>
        <w:t>. - Официальный сайт Российской ассоциации франчайзинга (РАФ)</w:t>
      </w:r>
      <w:bookmarkEnd w:id="16"/>
      <w:r w:rsidRPr="00666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291" w:rsidRPr="007A6291" w:rsidRDefault="007A6291" w:rsidP="00A25284">
      <w:pPr>
        <w:pStyle w:val="af3"/>
        <w:widowControl w:val="0"/>
        <w:spacing w:line="312" w:lineRule="auto"/>
        <w:rPr>
          <w:rFonts w:cs="Times New Roman"/>
          <w:szCs w:val="28"/>
        </w:rPr>
      </w:pPr>
    </w:p>
    <w:p w:rsidR="007A6291" w:rsidRPr="007A6291" w:rsidRDefault="007A6291" w:rsidP="007A6291">
      <w:pPr>
        <w:keepNext/>
        <w:keepLines/>
        <w:widowControl w:val="0"/>
        <w:spacing w:after="0" w:line="312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sectPr w:rsidR="007A6291" w:rsidRPr="007A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12B9"/>
    <w:multiLevelType w:val="hybridMultilevel"/>
    <w:tmpl w:val="0832BDD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455594B"/>
    <w:multiLevelType w:val="multilevel"/>
    <w:tmpl w:val="D436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E3063"/>
    <w:multiLevelType w:val="hybridMultilevel"/>
    <w:tmpl w:val="008C3188"/>
    <w:lvl w:ilvl="0" w:tplc="78E452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06C"/>
    <w:multiLevelType w:val="hybridMultilevel"/>
    <w:tmpl w:val="83FA87FA"/>
    <w:lvl w:ilvl="0" w:tplc="78E452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75611"/>
    <w:multiLevelType w:val="hybridMultilevel"/>
    <w:tmpl w:val="07D617F4"/>
    <w:lvl w:ilvl="0" w:tplc="78E452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2525EE"/>
    <w:multiLevelType w:val="hybridMultilevel"/>
    <w:tmpl w:val="914A58E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0F9465E2"/>
    <w:multiLevelType w:val="hybridMultilevel"/>
    <w:tmpl w:val="AB2083C6"/>
    <w:lvl w:ilvl="0" w:tplc="78E452A4">
      <w:start w:val="1"/>
      <w:numFmt w:val="bullet"/>
      <w:lvlText w:val="-"/>
      <w:lvlJc w:val="left"/>
      <w:pPr>
        <w:ind w:left="1065" w:hanging="70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81CB3"/>
    <w:multiLevelType w:val="hybridMultilevel"/>
    <w:tmpl w:val="4976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839C6"/>
    <w:multiLevelType w:val="hybridMultilevel"/>
    <w:tmpl w:val="CB109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401E5"/>
    <w:multiLevelType w:val="multilevel"/>
    <w:tmpl w:val="FCD8A15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mbria Math" w:hAnsi="Cambria Math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940FE9"/>
    <w:multiLevelType w:val="multilevel"/>
    <w:tmpl w:val="2B3CF4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725ABD"/>
    <w:multiLevelType w:val="hybridMultilevel"/>
    <w:tmpl w:val="BD923C90"/>
    <w:lvl w:ilvl="0" w:tplc="3B70C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8C34F1"/>
    <w:multiLevelType w:val="hybridMultilevel"/>
    <w:tmpl w:val="72E89094"/>
    <w:lvl w:ilvl="0" w:tplc="78E452A4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1F222305"/>
    <w:multiLevelType w:val="multilevel"/>
    <w:tmpl w:val="8668A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1FCC0170"/>
    <w:multiLevelType w:val="hybridMultilevel"/>
    <w:tmpl w:val="B9FA3958"/>
    <w:lvl w:ilvl="0" w:tplc="78E452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F53A8B"/>
    <w:multiLevelType w:val="hybridMultilevel"/>
    <w:tmpl w:val="4C025FB0"/>
    <w:lvl w:ilvl="0" w:tplc="78E452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D22CC5"/>
    <w:multiLevelType w:val="hybridMultilevel"/>
    <w:tmpl w:val="793EB464"/>
    <w:lvl w:ilvl="0" w:tplc="138AD77E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3453E8C"/>
    <w:multiLevelType w:val="hybridMultilevel"/>
    <w:tmpl w:val="9B6AA5E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FCB3A4B"/>
    <w:multiLevelType w:val="hybridMultilevel"/>
    <w:tmpl w:val="12DA775C"/>
    <w:lvl w:ilvl="0" w:tplc="78E452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F39C2"/>
    <w:multiLevelType w:val="hybridMultilevel"/>
    <w:tmpl w:val="24E0EABE"/>
    <w:lvl w:ilvl="0" w:tplc="78E452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97315F"/>
    <w:multiLevelType w:val="multilevel"/>
    <w:tmpl w:val="9974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F152AF"/>
    <w:multiLevelType w:val="hybridMultilevel"/>
    <w:tmpl w:val="AE6AC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FE3F5E"/>
    <w:multiLevelType w:val="multilevel"/>
    <w:tmpl w:val="56F43A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285788"/>
    <w:multiLevelType w:val="hybridMultilevel"/>
    <w:tmpl w:val="CB109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6023F"/>
    <w:multiLevelType w:val="hybridMultilevel"/>
    <w:tmpl w:val="DB864ABE"/>
    <w:lvl w:ilvl="0" w:tplc="55B0C95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01FCD"/>
    <w:multiLevelType w:val="hybridMultilevel"/>
    <w:tmpl w:val="41FA6820"/>
    <w:lvl w:ilvl="0" w:tplc="78E452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B2F77"/>
    <w:multiLevelType w:val="hybridMultilevel"/>
    <w:tmpl w:val="99EA4484"/>
    <w:lvl w:ilvl="0" w:tplc="C748A61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31DA9"/>
    <w:multiLevelType w:val="hybridMultilevel"/>
    <w:tmpl w:val="0388D044"/>
    <w:lvl w:ilvl="0" w:tplc="78E452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E6E10DA"/>
    <w:multiLevelType w:val="hybridMultilevel"/>
    <w:tmpl w:val="80642314"/>
    <w:lvl w:ilvl="0" w:tplc="78E452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0BD1FD5"/>
    <w:multiLevelType w:val="hybridMultilevel"/>
    <w:tmpl w:val="5144F79E"/>
    <w:lvl w:ilvl="0" w:tplc="5D2A70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B95B79"/>
    <w:multiLevelType w:val="multilevel"/>
    <w:tmpl w:val="E676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2E74E4"/>
    <w:multiLevelType w:val="multilevel"/>
    <w:tmpl w:val="5DCCB0B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mbria Math" w:hAnsi="Cambria Math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3D1A1E"/>
    <w:multiLevelType w:val="hybridMultilevel"/>
    <w:tmpl w:val="6B8655C2"/>
    <w:lvl w:ilvl="0" w:tplc="54D0244A">
      <w:start w:val="1"/>
      <w:numFmt w:val="bullet"/>
      <w:lvlText w:val="−"/>
      <w:lvlJc w:val="left"/>
      <w:pPr>
        <w:ind w:left="1429" w:hanging="360"/>
      </w:pPr>
      <w:rPr>
        <w:rFonts w:ascii="Cambria Math" w:hAnsi="Cambria Math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A77394"/>
    <w:multiLevelType w:val="hybridMultilevel"/>
    <w:tmpl w:val="90D0299C"/>
    <w:lvl w:ilvl="0" w:tplc="78E452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5C08BD"/>
    <w:multiLevelType w:val="hybridMultilevel"/>
    <w:tmpl w:val="F81C12B4"/>
    <w:lvl w:ilvl="0" w:tplc="78E452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BC3BEB"/>
    <w:multiLevelType w:val="hybridMultilevel"/>
    <w:tmpl w:val="518A8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3B90009"/>
    <w:multiLevelType w:val="hybridMultilevel"/>
    <w:tmpl w:val="232A84F6"/>
    <w:lvl w:ilvl="0" w:tplc="78E452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AE0CA4"/>
    <w:multiLevelType w:val="hybridMultilevel"/>
    <w:tmpl w:val="4D286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E06D45"/>
    <w:multiLevelType w:val="multilevel"/>
    <w:tmpl w:val="863C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3A6C44"/>
    <w:multiLevelType w:val="hybridMultilevel"/>
    <w:tmpl w:val="63504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D13CD3"/>
    <w:multiLevelType w:val="multilevel"/>
    <w:tmpl w:val="4EDE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586DD4"/>
    <w:multiLevelType w:val="hybridMultilevel"/>
    <w:tmpl w:val="7B98E6B0"/>
    <w:lvl w:ilvl="0" w:tplc="78E452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F81205"/>
    <w:multiLevelType w:val="multilevel"/>
    <w:tmpl w:val="F0C6A3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1E56F8"/>
    <w:multiLevelType w:val="hybridMultilevel"/>
    <w:tmpl w:val="78ACDEEE"/>
    <w:lvl w:ilvl="0" w:tplc="3B70C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817C6"/>
    <w:multiLevelType w:val="hybridMultilevel"/>
    <w:tmpl w:val="75162B24"/>
    <w:lvl w:ilvl="0" w:tplc="DBD03FE0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BC2DF4"/>
    <w:multiLevelType w:val="hybridMultilevel"/>
    <w:tmpl w:val="3DB8233C"/>
    <w:lvl w:ilvl="0" w:tplc="C5606E4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D24564"/>
    <w:multiLevelType w:val="hybridMultilevel"/>
    <w:tmpl w:val="7C8809CC"/>
    <w:lvl w:ilvl="0" w:tplc="78E452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6B3D33"/>
    <w:multiLevelType w:val="multilevel"/>
    <w:tmpl w:val="FCD8A15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mbria Math" w:hAnsi="Cambria Math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5"/>
  </w:num>
  <w:num w:numId="3">
    <w:abstractNumId w:val="30"/>
  </w:num>
  <w:num w:numId="4">
    <w:abstractNumId w:val="42"/>
  </w:num>
  <w:num w:numId="5">
    <w:abstractNumId w:val="44"/>
  </w:num>
  <w:num w:numId="6">
    <w:abstractNumId w:val="32"/>
  </w:num>
  <w:num w:numId="7">
    <w:abstractNumId w:val="47"/>
  </w:num>
  <w:num w:numId="8">
    <w:abstractNumId w:val="9"/>
  </w:num>
  <w:num w:numId="9">
    <w:abstractNumId w:val="31"/>
  </w:num>
  <w:num w:numId="10">
    <w:abstractNumId w:val="36"/>
  </w:num>
  <w:num w:numId="11">
    <w:abstractNumId w:val="15"/>
  </w:num>
  <w:num w:numId="12">
    <w:abstractNumId w:val="23"/>
  </w:num>
  <w:num w:numId="13">
    <w:abstractNumId w:val="8"/>
  </w:num>
  <w:num w:numId="14">
    <w:abstractNumId w:val="17"/>
  </w:num>
  <w:num w:numId="15">
    <w:abstractNumId w:val="16"/>
  </w:num>
  <w:num w:numId="16">
    <w:abstractNumId w:val="7"/>
  </w:num>
  <w:num w:numId="17">
    <w:abstractNumId w:val="14"/>
  </w:num>
  <w:num w:numId="18">
    <w:abstractNumId w:val="19"/>
  </w:num>
  <w:num w:numId="19">
    <w:abstractNumId w:val="39"/>
  </w:num>
  <w:num w:numId="20">
    <w:abstractNumId w:val="37"/>
  </w:num>
  <w:num w:numId="21">
    <w:abstractNumId w:val="3"/>
  </w:num>
  <w:num w:numId="22">
    <w:abstractNumId w:val="25"/>
  </w:num>
  <w:num w:numId="23">
    <w:abstractNumId w:val="20"/>
  </w:num>
  <w:num w:numId="24">
    <w:abstractNumId w:val="40"/>
  </w:num>
  <w:num w:numId="25">
    <w:abstractNumId w:val="38"/>
  </w:num>
  <w:num w:numId="26">
    <w:abstractNumId w:val="10"/>
  </w:num>
  <w:num w:numId="27">
    <w:abstractNumId w:val="41"/>
  </w:num>
  <w:num w:numId="28">
    <w:abstractNumId w:val="2"/>
  </w:num>
  <w:num w:numId="29">
    <w:abstractNumId w:val="28"/>
  </w:num>
  <w:num w:numId="30">
    <w:abstractNumId w:val="33"/>
  </w:num>
  <w:num w:numId="31">
    <w:abstractNumId w:val="6"/>
  </w:num>
  <w:num w:numId="32">
    <w:abstractNumId w:val="4"/>
  </w:num>
  <w:num w:numId="33">
    <w:abstractNumId w:val="18"/>
  </w:num>
  <w:num w:numId="34">
    <w:abstractNumId w:val="22"/>
  </w:num>
  <w:num w:numId="35">
    <w:abstractNumId w:val="27"/>
  </w:num>
  <w:num w:numId="36">
    <w:abstractNumId w:val="46"/>
  </w:num>
  <w:num w:numId="37">
    <w:abstractNumId w:val="1"/>
  </w:num>
  <w:num w:numId="38">
    <w:abstractNumId w:val="12"/>
  </w:num>
  <w:num w:numId="39">
    <w:abstractNumId w:val="35"/>
  </w:num>
  <w:num w:numId="40">
    <w:abstractNumId w:val="43"/>
  </w:num>
  <w:num w:numId="41">
    <w:abstractNumId w:val="11"/>
  </w:num>
  <w:num w:numId="42">
    <w:abstractNumId w:val="26"/>
  </w:num>
  <w:num w:numId="43">
    <w:abstractNumId w:val="34"/>
  </w:num>
  <w:num w:numId="44">
    <w:abstractNumId w:val="13"/>
  </w:num>
  <w:num w:numId="45">
    <w:abstractNumId w:val="0"/>
  </w:num>
  <w:num w:numId="46">
    <w:abstractNumId w:val="5"/>
  </w:num>
  <w:num w:numId="47">
    <w:abstractNumId w:val="29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69"/>
    <w:rsid w:val="00077606"/>
    <w:rsid w:val="000865E4"/>
    <w:rsid w:val="00116E13"/>
    <w:rsid w:val="00182169"/>
    <w:rsid w:val="001A705F"/>
    <w:rsid w:val="00263AC4"/>
    <w:rsid w:val="003E31F3"/>
    <w:rsid w:val="0040720E"/>
    <w:rsid w:val="00424F3A"/>
    <w:rsid w:val="00433342"/>
    <w:rsid w:val="0043491C"/>
    <w:rsid w:val="004468E7"/>
    <w:rsid w:val="00535B49"/>
    <w:rsid w:val="005E7E9F"/>
    <w:rsid w:val="00692E27"/>
    <w:rsid w:val="007345E7"/>
    <w:rsid w:val="0074378C"/>
    <w:rsid w:val="007A6291"/>
    <w:rsid w:val="008F32A4"/>
    <w:rsid w:val="009443B4"/>
    <w:rsid w:val="00975AFE"/>
    <w:rsid w:val="009A2AE4"/>
    <w:rsid w:val="009E7A93"/>
    <w:rsid w:val="00A22E1B"/>
    <w:rsid w:val="00A25284"/>
    <w:rsid w:val="00A76511"/>
    <w:rsid w:val="00B81E58"/>
    <w:rsid w:val="00B93ACA"/>
    <w:rsid w:val="00BE5171"/>
    <w:rsid w:val="00C844D5"/>
    <w:rsid w:val="00CB7D1A"/>
    <w:rsid w:val="00CC00E8"/>
    <w:rsid w:val="00CC56DC"/>
    <w:rsid w:val="00D31261"/>
    <w:rsid w:val="00DD58E0"/>
    <w:rsid w:val="00DE7DFE"/>
    <w:rsid w:val="00E06C33"/>
    <w:rsid w:val="00E26974"/>
    <w:rsid w:val="00E56D2B"/>
    <w:rsid w:val="00F201C3"/>
    <w:rsid w:val="00F4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10DDB-0A50-4196-9F51-D0CC3564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AE4"/>
    <w:pPr>
      <w:keepNext/>
      <w:keepLines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AE4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A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A2A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3">
    <w:name w:val="Hyperlink"/>
    <w:basedOn w:val="a0"/>
    <w:uiPriority w:val="99"/>
    <w:unhideWhenUsed/>
    <w:rsid w:val="009A2AE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A2AE4"/>
    <w:pPr>
      <w:spacing w:after="100" w:line="360" w:lineRule="auto"/>
      <w:jc w:val="both"/>
    </w:pPr>
    <w:rPr>
      <w:rFonts w:ascii="Times New Roman" w:hAnsi="Times New Roman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9A2AE4"/>
  </w:style>
  <w:style w:type="character" w:customStyle="1" w:styleId="a4">
    <w:name w:val="Основной текст_"/>
    <w:basedOn w:val="a0"/>
    <w:link w:val="73"/>
    <w:rsid w:val="009A2A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A2A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9A2A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3">
    <w:name w:val="Основной текст73"/>
    <w:basedOn w:val="a"/>
    <w:link w:val="a4"/>
    <w:rsid w:val="009A2AE4"/>
    <w:pPr>
      <w:shd w:val="clear" w:color="auto" w:fill="FFFFFF"/>
      <w:spacing w:after="60" w:line="0" w:lineRule="atLeast"/>
      <w:ind w:hanging="1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A2AE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картинке"/>
    <w:basedOn w:val="a"/>
    <w:link w:val="a5"/>
    <w:rsid w:val="009A2AE4"/>
    <w:pPr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A2AE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A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9A2A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9A2A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9A2AE4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A2AE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A2AE4"/>
    <w:rPr>
      <w:rFonts w:ascii="Times New Roman" w:hAnsi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A2AE4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A2AE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0">
    <w:name w:val="Верхний колонтитул Знак"/>
    <w:basedOn w:val="a0"/>
    <w:link w:val="af"/>
    <w:uiPriority w:val="99"/>
    <w:rsid w:val="009A2AE4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9A2AE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2">
    <w:name w:val="Нижний колонтитул Знак"/>
    <w:basedOn w:val="a0"/>
    <w:link w:val="af1"/>
    <w:uiPriority w:val="99"/>
    <w:rsid w:val="009A2AE4"/>
    <w:rPr>
      <w:rFonts w:ascii="Times New Roman" w:hAnsi="Times New Roman"/>
      <w:sz w:val="28"/>
    </w:rPr>
  </w:style>
  <w:style w:type="paragraph" w:styleId="af3">
    <w:name w:val="List Paragraph"/>
    <w:basedOn w:val="a"/>
    <w:uiPriority w:val="34"/>
    <w:qFormat/>
    <w:rsid w:val="009A2AE4"/>
    <w:pPr>
      <w:spacing w:after="0" w:line="360" w:lineRule="auto"/>
      <w:ind w:left="720"/>
      <w:contextualSpacing/>
      <w:jc w:val="both"/>
    </w:pPr>
    <w:rPr>
      <w:rFonts w:ascii="Times New Roman" w:hAnsi="Times New Roman"/>
      <w:sz w:val="28"/>
    </w:rPr>
  </w:style>
  <w:style w:type="table" w:styleId="af4">
    <w:name w:val="Table Grid"/>
    <w:basedOn w:val="a1"/>
    <w:uiPriority w:val="59"/>
    <w:rsid w:val="009A2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basedOn w:val="1"/>
    <w:link w:val="14"/>
    <w:qFormat/>
    <w:rsid w:val="009A2AE4"/>
    <w:pPr>
      <w:spacing w:before="0"/>
    </w:pPr>
    <w:rPr>
      <w:rFonts w:ascii="Times New Roman" w:hAnsi="Times New Roman" w:cs="Times New Roman"/>
      <w:bCs w:val="0"/>
      <w:lang w:val="ru"/>
    </w:rPr>
  </w:style>
  <w:style w:type="paragraph" w:styleId="af5">
    <w:name w:val="TOC Heading"/>
    <w:basedOn w:val="1"/>
    <w:next w:val="a"/>
    <w:uiPriority w:val="39"/>
    <w:semiHidden/>
    <w:unhideWhenUsed/>
    <w:qFormat/>
    <w:rsid w:val="009A2AE4"/>
    <w:pPr>
      <w:outlineLvl w:val="9"/>
    </w:pPr>
    <w:rPr>
      <w:lang w:eastAsia="ru-RU"/>
    </w:rPr>
  </w:style>
  <w:style w:type="character" w:customStyle="1" w:styleId="14">
    <w:name w:val="Стиль1 Знак"/>
    <w:basedOn w:val="10"/>
    <w:link w:val="13"/>
    <w:rsid w:val="009A2AE4"/>
    <w:rPr>
      <w:rFonts w:ascii="Times New Roman" w:eastAsiaTheme="majorEastAsia" w:hAnsi="Times New Roman" w:cs="Times New Roman"/>
      <w:b/>
      <w:bCs w:val="0"/>
      <w:color w:val="2E74B5" w:themeColor="accent1" w:themeShade="BF"/>
      <w:sz w:val="28"/>
      <w:szCs w:val="28"/>
      <w:lang w:val="ru"/>
    </w:rPr>
  </w:style>
  <w:style w:type="paragraph" w:customStyle="1" w:styleId="af6">
    <w:name w:val="Стандарт"/>
    <w:basedOn w:val="a"/>
    <w:qFormat/>
    <w:rsid w:val="009A2AE4"/>
    <w:pPr>
      <w:spacing w:before="120" w:after="0" w:line="312" w:lineRule="auto"/>
      <w:ind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4"/>
    <w:uiPriority w:val="59"/>
    <w:rsid w:val="009A2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9A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9A2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Лист1!$A$2:$A$19</c:f>
              <c:numCache>
                <c:formatCode>General</c:formatCode>
                <c:ptCount val="18"/>
                <c:pt idx="0">
                  <c:v>1995</c:v>
                </c:pt>
                <c:pt idx="1">
                  <c:v>1996</c:v>
                </c:pt>
                <c:pt idx="2">
                  <c:v>1997</c:v>
                </c:pt>
                <c:pt idx="3">
                  <c:v>1998</c:v>
                </c:pt>
                <c:pt idx="4">
                  <c:v>1999</c:v>
                </c:pt>
                <c:pt idx="5">
                  <c:v>2000</c:v>
                </c:pt>
                <c:pt idx="6">
                  <c:v>2001</c:v>
                </c:pt>
                <c:pt idx="7">
                  <c:v>2002</c:v>
                </c:pt>
                <c:pt idx="8">
                  <c:v>2003</c:v>
                </c:pt>
                <c:pt idx="9">
                  <c:v>2004</c:v>
                </c:pt>
                <c:pt idx="10">
                  <c:v>2005</c:v>
                </c:pt>
                <c:pt idx="11">
                  <c:v>2006</c:v>
                </c:pt>
                <c:pt idx="12">
                  <c:v>2007</c:v>
                </c:pt>
                <c:pt idx="13">
                  <c:v>2008</c:v>
                </c:pt>
                <c:pt idx="14">
                  <c:v>2009</c:v>
                </c:pt>
                <c:pt idx="15">
                  <c:v>2010</c:v>
                </c:pt>
                <c:pt idx="16">
                  <c:v>2011</c:v>
                </c:pt>
                <c:pt idx="17">
                  <c:v>2012</c:v>
                </c:pt>
              </c:numCache>
            </c:num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0</c:v>
                </c:pt>
                <c:pt idx="1">
                  <c:v>5</c:v>
                </c:pt>
                <c:pt idx="2">
                  <c:v>15</c:v>
                </c:pt>
                <c:pt idx="3">
                  <c:v>35</c:v>
                </c:pt>
                <c:pt idx="4">
                  <c:v>25</c:v>
                </c:pt>
                <c:pt idx="5">
                  <c:v>55</c:v>
                </c:pt>
                <c:pt idx="6">
                  <c:v>85</c:v>
                </c:pt>
                <c:pt idx="7">
                  <c:v>100</c:v>
                </c:pt>
                <c:pt idx="8">
                  <c:v>115</c:v>
                </c:pt>
                <c:pt idx="9">
                  <c:v>150</c:v>
                </c:pt>
                <c:pt idx="10">
                  <c:v>200</c:v>
                </c:pt>
                <c:pt idx="11">
                  <c:v>250</c:v>
                </c:pt>
                <c:pt idx="12">
                  <c:v>340</c:v>
                </c:pt>
                <c:pt idx="13">
                  <c:v>445</c:v>
                </c:pt>
                <c:pt idx="14">
                  <c:v>485</c:v>
                </c:pt>
                <c:pt idx="15">
                  <c:v>547</c:v>
                </c:pt>
                <c:pt idx="16">
                  <c:v>574</c:v>
                </c:pt>
                <c:pt idx="17">
                  <c:v>603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3485792"/>
        <c:axId val="2023481984"/>
      </c:barChart>
      <c:catAx>
        <c:axId val="20234857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+mj-lt"/>
                  </a:defRPr>
                </a:pPr>
                <a:r>
                  <a:rPr lang="ru-RU">
                    <a:latin typeface="+mj-lt"/>
                  </a:rPr>
                  <a:t>Годы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-2700000" vert="horz"/>
          <a:lstStyle/>
          <a:p>
            <a:pPr>
              <a:defRPr/>
            </a:pPr>
            <a:endParaRPr lang="ru-RU"/>
          </a:p>
        </c:txPr>
        <c:crossAx val="2023481984"/>
        <c:crosses val="autoZero"/>
        <c:auto val="1"/>
        <c:lblAlgn val="ctr"/>
        <c:lblOffset val="100"/>
        <c:noMultiLvlLbl val="0"/>
      </c:catAx>
      <c:valAx>
        <c:axId val="2023481984"/>
        <c:scaling>
          <c:orientation val="minMax"/>
          <c:max val="7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+mj-lt"/>
                  </a:defRPr>
                </a:pPr>
                <a:r>
                  <a:rPr lang="ru-RU">
                    <a:latin typeface="+mj-lt"/>
                  </a:rPr>
                  <a:t>Количество франчайзеров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ru-RU"/>
          </a:p>
        </c:txPr>
        <c:crossAx val="2023485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9737916906728"/>
          <c:y val="7.7601410934744305E-2"/>
          <c:w val="0.56778080788681895"/>
          <c:h val="0.8447971781305120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лет и более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конец 2010г.</c:v>
                </c:pt>
                <c:pt idx="1">
                  <c:v>На конец 2012г.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 formatCode="0.00%">
                  <c:v>0.56499999999999995</c:v>
                </c:pt>
                <c:pt idx="1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Менее 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конец 2010г.</c:v>
                </c:pt>
                <c:pt idx="1">
                  <c:v>На конец 2012г.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 formatCode="0.00%">
                  <c:v>0.44500000000000001</c:v>
                </c:pt>
                <c:pt idx="1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762717120"/>
        <c:axId val="1762723648"/>
        <c:axId val="0"/>
      </c:bar3DChart>
      <c:catAx>
        <c:axId val="17627171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762723648"/>
        <c:crosses val="autoZero"/>
        <c:auto val="1"/>
        <c:lblAlgn val="ctr"/>
        <c:lblOffset val="100"/>
        <c:noMultiLvlLbl val="0"/>
      </c:catAx>
      <c:valAx>
        <c:axId val="1762723648"/>
        <c:scaling>
          <c:orientation val="minMax"/>
        </c:scaling>
        <c:delete val="1"/>
        <c:axPos val="b"/>
        <c:majorGridlines/>
        <c:numFmt formatCode="0.00%" sourceLinked="1"/>
        <c:majorTickMark val="out"/>
        <c:minorTickMark val="none"/>
        <c:tickLblPos val="nextTo"/>
        <c:crossAx val="1762717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+mj-lt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361333885303899E-2"/>
          <c:y val="0.108063946552136"/>
          <c:w val="0.67537463988402502"/>
          <c:h val="0.831590073968026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+mj-lt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Менее 10 точек</c:v>
                </c:pt>
                <c:pt idx="1">
                  <c:v>От 11 до 50 точек</c:v>
                </c:pt>
                <c:pt idx="2">
                  <c:v>Более 51 точки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0.47</c:v>
                </c:pt>
                <c:pt idx="1">
                  <c:v>0.35</c:v>
                </c:pt>
                <c:pt idx="2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867445177529195"/>
          <c:y val="0.20662929288531401"/>
          <c:w val="0.30822135155810798"/>
          <c:h val="0.62808287046716904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3243243243243301E-2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latin typeface="+mj-lt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2.1621621621621599E-2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latin typeface="+mj-lt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4864864864864896E-2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latin typeface="+mj-lt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6.4864864864864896E-2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latin typeface="+mj-lt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+mj-lt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 1 млн</c:v>
                </c:pt>
                <c:pt idx="1">
                  <c:v>1-2 млн</c:v>
                </c:pt>
                <c:pt idx="2">
                  <c:v>1-5 млн</c:v>
                </c:pt>
                <c:pt idx="3">
                  <c:v>Свыше 5 млн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0.41</c:v>
                </c:pt>
                <c:pt idx="1">
                  <c:v>0.38</c:v>
                </c:pt>
                <c:pt idx="2">
                  <c:v>0.15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1762720928"/>
        <c:axId val="1762721472"/>
        <c:axId val="0"/>
      </c:bar3DChart>
      <c:catAx>
        <c:axId val="1762720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+mj-lt"/>
              </a:defRPr>
            </a:pPr>
            <a:endParaRPr lang="ru-RU"/>
          </a:p>
        </c:txPr>
        <c:crossAx val="1762721472"/>
        <c:crosses val="autoZero"/>
        <c:auto val="1"/>
        <c:lblAlgn val="ctr"/>
        <c:lblOffset val="100"/>
        <c:noMultiLvlLbl val="0"/>
      </c:catAx>
      <c:valAx>
        <c:axId val="1762721472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17627209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431517060367497E-2"/>
          <c:y val="6.9004033032456294E-2"/>
          <c:w val="0.63870807349081404"/>
          <c:h val="0.865955316561039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_</c:v>
                </c:pt>
              </c:strCache>
            </c:strRef>
          </c:tx>
          <c:explosion val="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Зарубежные франшизы</c:v>
                </c:pt>
                <c:pt idx="1">
                  <c:v>Российские франшизы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0.34</c:v>
                </c:pt>
                <c:pt idx="1">
                  <c:v>0.66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  <a:scene3d>
      <a:camera prst="orthographicFront"/>
      <a:lightRig rig="threePt" dir="t"/>
    </a:scene3d>
    <a:sp3d prstMaterial="softEdge"/>
  </c:spPr>
  <c:txPr>
    <a:bodyPr/>
    <a:lstStyle/>
    <a:p>
      <a:pPr>
        <a:defRPr sz="1400">
          <a:latin typeface="+mj-lt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818277923592901"/>
          <c:y val="4.3731933577547601E-2"/>
          <c:w val="0.80552675707203303"/>
          <c:h val="0.7492288216294330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Национальные франшизы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США</c:v>
                </c:pt>
                <c:pt idx="1">
                  <c:v>Бразилия</c:v>
                </c:pt>
                <c:pt idx="2">
                  <c:v>Китай</c:v>
                </c:pt>
                <c:pt idx="3">
                  <c:v>Италия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0.89</c:v>
                </c:pt>
                <c:pt idx="2">
                  <c:v>0.9</c:v>
                </c:pt>
                <c:pt idx="3">
                  <c:v>0.96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Зарубежные франшизы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9.259259259259260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США</c:v>
                </c:pt>
                <c:pt idx="1">
                  <c:v>Бразилия</c:v>
                </c:pt>
                <c:pt idx="2">
                  <c:v>Китай</c:v>
                </c:pt>
                <c:pt idx="3">
                  <c:v>Италия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</c:v>
                </c:pt>
                <c:pt idx="1">
                  <c:v>0.11</c:v>
                </c:pt>
                <c:pt idx="2">
                  <c:v>0.1</c:v>
                </c:pt>
                <c:pt idx="3">
                  <c:v>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2026048800"/>
        <c:axId val="2026052064"/>
      </c:barChart>
      <c:catAx>
        <c:axId val="202604880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026052064"/>
        <c:crosses val="autoZero"/>
        <c:auto val="1"/>
        <c:lblAlgn val="ctr"/>
        <c:lblOffset val="100"/>
        <c:noMultiLvlLbl val="0"/>
      </c:catAx>
      <c:valAx>
        <c:axId val="2026052064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extTo"/>
        <c:crossAx val="20260488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51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33051001475057E-4"/>
          <c:y val="8.4134574087329994E-2"/>
          <c:w val="0.65437481773111705"/>
          <c:h val="0.813973154811076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3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Cambria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ЦФО</c:v>
                </c:pt>
                <c:pt idx="1">
                  <c:v>Северо-Западный ФО</c:v>
                </c:pt>
                <c:pt idx="2">
                  <c:v>Южный ФО</c:v>
                </c:pt>
                <c:pt idx="3">
                  <c:v>Приволжский ФО</c:v>
                </c:pt>
                <c:pt idx="4">
                  <c:v>Уральский ФО</c:v>
                </c:pt>
                <c:pt idx="5">
                  <c:v>Сибирский ФО</c:v>
                </c:pt>
                <c:pt idx="6">
                  <c:v>Дальневосточный ФО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0.7</c:v>
                </c:pt>
                <c:pt idx="1">
                  <c:v>0.09</c:v>
                </c:pt>
                <c:pt idx="2">
                  <c:v>0.01</c:v>
                </c:pt>
                <c:pt idx="3">
                  <c:v>0.03</c:v>
                </c:pt>
                <c:pt idx="4">
                  <c:v>0.04</c:v>
                </c:pt>
                <c:pt idx="5">
                  <c:v>0.01</c:v>
                </c:pt>
                <c:pt idx="6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050">
              <a:latin typeface="Cambria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Франчайзинг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>Одежда</c:v>
                </c:pt>
                <c:pt idx="1">
                  <c:v>Детские товары</c:v>
                </c:pt>
                <c:pt idx="2">
                  <c:v>Обувь</c:v>
                </c:pt>
                <c:pt idx="3">
                  <c:v>Подарки/декор</c:v>
                </c:pt>
                <c:pt idx="4">
                  <c:v>Бижутерия, аксессуары</c:v>
                </c:pt>
                <c:pt idx="5">
                  <c:v>Мебель</c:v>
                </c:pt>
                <c:pt idx="6">
                  <c:v>Косметика</c:v>
                </c:pt>
                <c:pt idx="7">
                  <c:v>Товары для дома</c:v>
                </c:pt>
                <c:pt idx="8">
                  <c:v>Продукты питания</c:v>
                </c:pt>
                <c:pt idx="9">
                  <c:v>Бытовая техника/электроника</c:v>
                </c:pt>
                <c:pt idx="10">
                  <c:v>Нижнее белье</c:v>
                </c:pt>
                <c:pt idx="11">
                  <c:v>Прочее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223</c:v>
                </c:pt>
                <c:pt idx="1">
                  <c:v>48</c:v>
                </c:pt>
                <c:pt idx="2">
                  <c:v>36</c:v>
                </c:pt>
                <c:pt idx="3">
                  <c:v>33</c:v>
                </c:pt>
                <c:pt idx="4">
                  <c:v>32</c:v>
                </c:pt>
                <c:pt idx="5">
                  <c:v>28</c:v>
                </c:pt>
                <c:pt idx="6">
                  <c:v>26</c:v>
                </c:pt>
                <c:pt idx="7">
                  <c:v>25</c:v>
                </c:pt>
                <c:pt idx="8">
                  <c:v>21</c:v>
                </c:pt>
                <c:pt idx="9">
                  <c:v>16</c:v>
                </c:pt>
                <c:pt idx="10">
                  <c:v>16</c:v>
                </c:pt>
                <c:pt idx="11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953971545081906"/>
          <c:y val="3.5717662112337498E-2"/>
          <c:w val="0.288575734993885"/>
          <c:h val="0.96247705208266798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Cambria"/>
          <a:cs typeface="Cambria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69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8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Cambria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Россия</c:v>
                </c:pt>
                <c:pt idx="1">
                  <c:v>Италия</c:v>
                </c:pt>
                <c:pt idx="2">
                  <c:v>Франция</c:v>
                </c:pt>
                <c:pt idx="3">
                  <c:v>Германия</c:v>
                </c:pt>
                <c:pt idx="4">
                  <c:v>Прочие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0.42</c:v>
                </c:pt>
                <c:pt idx="1">
                  <c:v>0.18</c:v>
                </c:pt>
                <c:pt idx="2">
                  <c:v>0.14000000000000001</c:v>
                </c:pt>
                <c:pt idx="3">
                  <c:v>0.14000000000000001</c:v>
                </c:pt>
                <c:pt idx="4">
                  <c:v>0.12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Франчайзинг</c:v>
                </c:pt>
              </c:strCache>
            </c:strRef>
          </c:tx>
          <c:explosion val="13"/>
          <c:dLbls>
            <c:dLbl>
              <c:idx val="4"/>
              <c:layout>
                <c:manualLayout>
                  <c:x val="1.7255358480600599E-2"/>
                  <c:y val="9.4094014421482498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Cambria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Быстрое питание</c:v>
                </c:pt>
                <c:pt idx="1">
                  <c:v>Рестораны</c:v>
                </c:pt>
                <c:pt idx="2">
                  <c:v>Кофейни</c:v>
                </c:pt>
                <c:pt idx="3">
                  <c:v>Пивные</c:v>
                </c:pt>
                <c:pt idx="4">
                  <c:v>Суши</c:v>
                </c:pt>
                <c:pt idx="5">
                  <c:v>Пекарни</c:v>
                </c:pt>
                <c:pt idx="6">
                  <c:v>Кафе/кондитерские</c:v>
                </c:pt>
                <c:pt idx="7">
                  <c:v>Мороженое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63</c:v>
                </c:pt>
                <c:pt idx="1">
                  <c:v>34</c:v>
                </c:pt>
                <c:pt idx="2">
                  <c:v>20</c:v>
                </c:pt>
                <c:pt idx="3">
                  <c:v>13</c:v>
                </c:pt>
                <c:pt idx="4">
                  <c:v>11</c:v>
                </c:pt>
                <c:pt idx="5">
                  <c:v>10</c:v>
                </c:pt>
                <c:pt idx="6">
                  <c:v>8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6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7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9953971545081906"/>
          <c:y val="3.5717662112337498E-2"/>
          <c:w val="0.288575734993885"/>
          <c:h val="0.96247705208266798"/>
        </c:manualLayout>
      </c:layout>
      <c:overlay val="0"/>
      <c:txPr>
        <a:bodyPr/>
        <a:lstStyle/>
        <a:p>
          <a:pPr>
            <a:defRPr sz="1200">
              <a:latin typeface="Cambria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8921879556722094E-2"/>
          <c:y val="2.44755244755245E-2"/>
          <c:w val="0.88098552785068496"/>
          <c:h val="0.6922270249435600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(*-Мастер-франчайзи)</c:v>
                </c:pt>
              </c:strCache>
            </c:strRef>
          </c:tx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KFC</c:v>
                </c:pt>
                <c:pt idx="1">
                  <c:v>Subway</c:v>
                </c:pt>
                <c:pt idx="2">
                  <c:v>Sbarro*</c:v>
                </c:pt>
                <c:pt idx="3">
                  <c:v>IL Патио</c:v>
                </c:pt>
                <c:pt idx="4">
                  <c:v>Планета Суши</c:v>
                </c:pt>
                <c:pt idx="5">
                  <c:v>Baskin Robbins*</c:v>
                </c:pt>
                <c:pt idx="6">
                  <c:v>Восточный базар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53</c:v>
                </c:pt>
                <c:pt idx="1">
                  <c:v>0</c:v>
                </c:pt>
                <c:pt idx="2">
                  <c:v>149</c:v>
                </c:pt>
                <c:pt idx="3">
                  <c:v>90</c:v>
                </c:pt>
                <c:pt idx="4">
                  <c:v>84</c:v>
                </c:pt>
                <c:pt idx="5">
                  <c:v>20</c:v>
                </c:pt>
                <c:pt idx="6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Франчайзи (*-Субфранчайзи)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8362783392233502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4.659929319858579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1.7373812525402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822149481724E-3"/>
                  <c:y val="-5.198365952287459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822149481724E-3"/>
                  <c:y val="-1.319748417274609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-2.546195692018940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KFC</c:v>
                </c:pt>
                <c:pt idx="1">
                  <c:v>Subway</c:v>
                </c:pt>
                <c:pt idx="2">
                  <c:v>Sbarro*</c:v>
                </c:pt>
                <c:pt idx="3">
                  <c:v>IL Патио</c:v>
                </c:pt>
                <c:pt idx="4">
                  <c:v>Планета Суши</c:v>
                </c:pt>
                <c:pt idx="5">
                  <c:v>Baskin Robbins*</c:v>
                </c:pt>
                <c:pt idx="6">
                  <c:v>Восточный базар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163</c:v>
                </c:pt>
                <c:pt idx="1">
                  <c:v>532</c:v>
                </c:pt>
                <c:pt idx="2">
                  <c:v>29</c:v>
                </c:pt>
                <c:pt idx="3">
                  <c:v>66</c:v>
                </c:pt>
                <c:pt idx="4">
                  <c:v>61</c:v>
                </c:pt>
                <c:pt idx="5">
                  <c:v>258</c:v>
                </c:pt>
                <c:pt idx="6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100"/>
        <c:axId val="2026060224"/>
        <c:axId val="2026058592"/>
      </c:barChart>
      <c:catAx>
        <c:axId val="2026060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26058592"/>
        <c:crosses val="autoZero"/>
        <c:auto val="1"/>
        <c:lblAlgn val="ctr"/>
        <c:lblOffset val="400"/>
        <c:noMultiLvlLbl val="0"/>
      </c:catAx>
      <c:valAx>
        <c:axId val="2026058592"/>
        <c:scaling>
          <c:orientation val="minMax"/>
          <c:max val="55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026060224"/>
        <c:crosses val="autoZero"/>
        <c:crossBetween val="between"/>
        <c:majorUnit val="50"/>
      </c:valAx>
    </c:plotArea>
    <c:legend>
      <c:legendPos val="b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+mj-lt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1887236005612"/>
          <c:y val="6.8535825545171306E-2"/>
          <c:w val="0.81457076292429698"/>
          <c:h val="0.723343881080286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3000</c:v>
                </c:pt>
                <c:pt idx="1">
                  <c:v>5000</c:v>
                </c:pt>
                <c:pt idx="2">
                  <c:v>8400</c:v>
                </c:pt>
                <c:pt idx="3">
                  <c:v>8600</c:v>
                </c:pt>
                <c:pt idx="4">
                  <c:v>17000</c:v>
                </c:pt>
                <c:pt idx="5">
                  <c:v>20000</c:v>
                </c:pt>
                <c:pt idx="6">
                  <c:v>22140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3496128"/>
        <c:axId val="2023486336"/>
      </c:barChart>
      <c:catAx>
        <c:axId val="20234961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2023486336"/>
        <c:crosses val="autoZero"/>
        <c:auto val="1"/>
        <c:lblAlgn val="ctr"/>
        <c:lblOffset val="100"/>
        <c:noMultiLvlLbl val="0"/>
      </c:catAx>
      <c:valAx>
        <c:axId val="20234863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000">
                    <a:latin typeface="+mj-lt"/>
                  </a:defRPr>
                </a:pPr>
                <a:r>
                  <a:rPr lang="ru-RU" sz="1000">
                    <a:latin typeface="+mj-lt"/>
                  </a:rPr>
                  <a:t>Количество франчайзинговых точек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ru-RU"/>
          </a:p>
        </c:txPr>
        <c:crossAx val="20234961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Франчайзинг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Услуги для бизнеса</c:v>
                </c:pt>
                <c:pt idx="1">
                  <c:v>Здоровье/красота</c:v>
                </c:pt>
                <c:pt idx="2">
                  <c:v>Путешествия и развлечения</c:v>
                </c:pt>
                <c:pt idx="3">
                  <c:v>Автосервисы</c:v>
                </c:pt>
                <c:pt idx="4">
                  <c:v>Услуги для детей</c:v>
                </c:pt>
                <c:pt idx="5">
                  <c:v>Ремонтные услуги</c:v>
                </c:pt>
                <c:pt idx="6">
                  <c:v>Интернет/реклама</c:v>
                </c:pt>
                <c:pt idx="7">
                  <c:v>Образование</c:v>
                </c:pt>
                <c:pt idx="8">
                  <c:v>Спортивные услуги</c:v>
                </c:pt>
                <c:pt idx="9">
                  <c:v>Услуги для населения</c:v>
                </c:pt>
                <c:pt idx="10">
                  <c:v>Агентства недвижимости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83</c:v>
                </c:pt>
                <c:pt idx="1">
                  <c:v>63</c:v>
                </c:pt>
                <c:pt idx="2">
                  <c:v>50</c:v>
                </c:pt>
                <c:pt idx="3">
                  <c:v>49</c:v>
                </c:pt>
                <c:pt idx="4">
                  <c:v>37</c:v>
                </c:pt>
                <c:pt idx="5">
                  <c:v>33</c:v>
                </c:pt>
                <c:pt idx="6">
                  <c:v>28</c:v>
                </c:pt>
                <c:pt idx="7">
                  <c:v>25</c:v>
                </c:pt>
                <c:pt idx="8">
                  <c:v>20</c:v>
                </c:pt>
                <c:pt idx="9">
                  <c:v>19</c:v>
                </c:pt>
                <c:pt idx="10">
                  <c:v>16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459587214519599"/>
          <c:y val="3.5717662112337498E-2"/>
          <c:w val="0.33337684859132699"/>
          <c:h val="0.96247705208266798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+mj-lt"/>
        </a:defRPr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Торговля (не продтовары)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Россия</c:v>
                </c:pt>
                <c:pt idx="1">
                  <c:v>Европа</c:v>
                </c:pt>
                <c:pt idx="2">
                  <c:v>США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0.38</c:v>
                </c:pt>
                <c:pt idx="2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Торговля (продукты питания)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Россия</c:v>
                </c:pt>
                <c:pt idx="1">
                  <c:v>Европа</c:v>
                </c:pt>
                <c:pt idx="2">
                  <c:v>США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7.0000000000000007E-2</c:v>
                </c:pt>
                <c:pt idx="1">
                  <c:v>0.17</c:v>
                </c:pt>
                <c:pt idx="2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Общественное питание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Россия</c:v>
                </c:pt>
                <c:pt idx="1">
                  <c:v>Европа</c:v>
                </c:pt>
                <c:pt idx="2">
                  <c:v>США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0.16</c:v>
                </c:pt>
                <c:pt idx="1">
                  <c:v>0.15</c:v>
                </c:pt>
                <c:pt idx="2">
                  <c:v>0.21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Услуги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Россия</c:v>
                </c:pt>
                <c:pt idx="1">
                  <c:v>Европа</c:v>
                </c:pt>
                <c:pt idx="2">
                  <c:v>США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0.22</c:v>
                </c:pt>
                <c:pt idx="1">
                  <c:v>0.4</c:v>
                </c:pt>
                <c:pt idx="2">
                  <c:v>0.61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26047712"/>
        <c:axId val="1763301984"/>
        <c:axId val="0"/>
      </c:bar3DChart>
      <c:catAx>
        <c:axId val="2026047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63301984"/>
        <c:crosses val="autoZero"/>
        <c:auto val="1"/>
        <c:lblAlgn val="ctr"/>
        <c:lblOffset val="100"/>
        <c:noMultiLvlLbl val="0"/>
      </c:catAx>
      <c:valAx>
        <c:axId val="17633019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260477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356998407985897E-2"/>
          <c:y val="6.3807584396778E-2"/>
          <c:w val="0.89259928574502001"/>
          <c:h val="0.535678949222256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оставшихся на рынке фирм, работавших без франчайзинга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7316017316017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2.3088023088023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5573770491803296E-3"/>
                  <c:y val="-3.4632034632034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Через 1 год</c:v>
                </c:pt>
                <c:pt idx="1">
                  <c:v>Через 5 лет</c:v>
                </c:pt>
                <c:pt idx="2">
                  <c:v>Через 10 лет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0.62</c:v>
                </c:pt>
                <c:pt idx="1">
                  <c:v>0.23</c:v>
                </c:pt>
                <c:pt idx="2">
                  <c:v>0.18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Процент оставшихся на рынке фирм, работавших с помощью франчайзинга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Через 1 год</c:v>
                </c:pt>
                <c:pt idx="1">
                  <c:v>Через 5 лет</c:v>
                </c:pt>
                <c:pt idx="2">
                  <c:v>Через 10 лет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0.97</c:v>
                </c:pt>
                <c:pt idx="1">
                  <c:v>0.92</c:v>
                </c:pt>
                <c:pt idx="2">
                  <c:v>0.9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9"/>
        <c:gapDepth val="80"/>
        <c:shape val="box"/>
        <c:axId val="2023495040"/>
        <c:axId val="2023492864"/>
        <c:axId val="0"/>
      </c:bar3DChart>
      <c:catAx>
        <c:axId val="20234950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23492864"/>
        <c:crosses val="autoZero"/>
        <c:auto val="1"/>
        <c:lblAlgn val="ctr"/>
        <c:lblOffset val="100"/>
        <c:noMultiLvlLbl val="0"/>
      </c:catAx>
      <c:valAx>
        <c:axId val="202349286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20234950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79462873298686698"/>
          <c:w val="0.97318463060969795"/>
          <c:h val="0.2053711863998650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+mj-lt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Subway (франч.)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18</c:v>
                </c:pt>
                <c:pt idx="2">
                  <c:v>37</c:v>
                </c:pt>
                <c:pt idx="3">
                  <c:v>56</c:v>
                </c:pt>
                <c:pt idx="4">
                  <c:v>82</c:v>
                </c:pt>
                <c:pt idx="5">
                  <c:v>167</c:v>
                </c:pt>
                <c:pt idx="6">
                  <c:v>235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3482528"/>
        <c:axId val="2023493408"/>
      </c:barChart>
      <c:catAx>
        <c:axId val="2023482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23493408"/>
        <c:crosses val="autoZero"/>
        <c:auto val="1"/>
        <c:lblAlgn val="ctr"/>
        <c:lblOffset val="100"/>
        <c:noMultiLvlLbl val="0"/>
      </c:catAx>
      <c:valAx>
        <c:axId val="202349340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0234825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+mj-lt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Росинтер (соб.)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129</c:v>
                </c:pt>
                <c:pt idx="1">
                  <c:v>140</c:v>
                </c:pt>
                <c:pt idx="2">
                  <c:v>169</c:v>
                </c:pt>
                <c:pt idx="3">
                  <c:v>263</c:v>
                </c:pt>
                <c:pt idx="4">
                  <c:v>255</c:v>
                </c:pt>
                <c:pt idx="5">
                  <c:v>249</c:v>
                </c:pt>
                <c:pt idx="6">
                  <c:v>255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Франч.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7.145143088997929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8.570733006200309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7.889890575272290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9.16652085156021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0.1127300391798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-0.104064310801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18</c:v>
                </c:pt>
                <c:pt idx="1">
                  <c:v>34</c:v>
                </c:pt>
                <c:pt idx="2">
                  <c:v>63</c:v>
                </c:pt>
                <c:pt idx="3">
                  <c:v>74</c:v>
                </c:pt>
                <c:pt idx="4">
                  <c:v>95</c:v>
                </c:pt>
                <c:pt idx="5">
                  <c:v>113</c:v>
                </c:pt>
                <c:pt idx="6">
                  <c:v>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6"/>
        <c:overlap val="100"/>
        <c:axId val="2023496672"/>
        <c:axId val="2023481440"/>
      </c:barChart>
      <c:catAx>
        <c:axId val="2023496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23481440"/>
        <c:crosses val="autoZero"/>
        <c:auto val="1"/>
        <c:lblAlgn val="ctr"/>
        <c:lblOffset val="100"/>
        <c:noMultiLvlLbl val="0"/>
      </c:catAx>
      <c:valAx>
        <c:axId val="2023481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34966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+mj-lt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501449573705299"/>
          <c:y val="7.1513814396388903E-2"/>
          <c:w val="0.817055221038547"/>
          <c:h val="0.6764116804240050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Инвитро (соб.)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</c:v>
                </c:pt>
                <c:pt idx="1">
                  <c:v>26</c:v>
                </c:pt>
                <c:pt idx="2">
                  <c:v>36</c:v>
                </c:pt>
                <c:pt idx="3">
                  <c:v>71</c:v>
                </c:pt>
                <c:pt idx="4">
                  <c:v>91</c:v>
                </c:pt>
                <c:pt idx="5">
                  <c:v>105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Франч.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7.145143088997929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8.570733006200309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0.143311144078004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0.18828356600352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0.2415545158304490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-0.104064310801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</c:v>
                </c:pt>
                <c:pt idx="1">
                  <c:v>25</c:v>
                </c:pt>
                <c:pt idx="2">
                  <c:v>58</c:v>
                </c:pt>
                <c:pt idx="3">
                  <c:v>106</c:v>
                </c:pt>
                <c:pt idx="4">
                  <c:v>155</c:v>
                </c:pt>
                <c:pt idx="5">
                  <c:v>216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62720384"/>
        <c:axId val="1762726912"/>
      </c:barChart>
      <c:catAx>
        <c:axId val="176272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762726912"/>
        <c:crosses val="autoZero"/>
        <c:auto val="1"/>
        <c:lblAlgn val="ctr"/>
        <c:lblOffset val="100"/>
        <c:noMultiLvlLbl val="0"/>
      </c:catAx>
      <c:valAx>
        <c:axId val="1762726912"/>
        <c:scaling>
          <c:orientation val="minMax"/>
          <c:max val="4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27203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547105953861001"/>
          <c:y val="0.86246262695423903"/>
          <c:w val="0.62905753557121102"/>
          <c:h val="0.113933185536274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+mj-lt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5889729470091"/>
          <c:y val="7.0853462157809993E-2"/>
          <c:w val="0.83617998730550802"/>
          <c:h val="0.6422265332775429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ТОНУС-КЛУБ (соб.)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Франч.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7.145143088997929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8.570733006200309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0.130428696412947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4309436810594799E-7"/>
                  <c:y val="-0.2720194758263910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0.3188492018207870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-0.104064310801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11</c:v>
                </c:pt>
                <c:pt idx="3">
                  <c:v>29</c:v>
                </c:pt>
                <c:pt idx="4">
                  <c:v>63</c:v>
                </c:pt>
                <c:pt idx="5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6"/>
        <c:overlap val="100"/>
        <c:axId val="1762728000"/>
        <c:axId val="1762724736"/>
      </c:barChart>
      <c:catAx>
        <c:axId val="1762728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762724736"/>
        <c:crosses val="autoZero"/>
        <c:auto val="1"/>
        <c:lblAlgn val="ctr"/>
        <c:lblOffset val="400"/>
        <c:noMultiLvlLbl val="0"/>
      </c:catAx>
      <c:valAx>
        <c:axId val="1762724736"/>
        <c:scaling>
          <c:orientation val="minMax"/>
          <c:max val="9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2728000"/>
        <c:crosses val="autoZero"/>
        <c:crossBetween val="between"/>
        <c:majorUnit val="15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+mj-lt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5524494725163102E-2"/>
          <c:y val="5.5033009617253298E-2"/>
          <c:w val="0.59846381414702998"/>
          <c:h val="0.896367764238893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Отраслевая структупа франчайзинга в России</c:v>
                </c:pt>
              </c:strCache>
            </c:strRef>
          </c:tx>
          <c:explosion val="14"/>
          <c:dLbls>
            <c:dLbl>
              <c:idx val="3"/>
              <c:layout>
                <c:manualLayout>
                  <c:x val="3.02539168017288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Розничная торговля</c:v>
                </c:pt>
                <c:pt idx="1">
                  <c:v>Общественное питание</c:v>
                </c:pt>
                <c:pt idx="2">
                  <c:v>Сфера услуг</c:v>
                </c:pt>
                <c:pt idx="3">
                  <c:v>Производство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0.53</c:v>
                </c:pt>
                <c:pt idx="1">
                  <c:v>0.15</c:v>
                </c:pt>
                <c:pt idx="2">
                  <c:v>0.28999999999999998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121879214044801"/>
          <c:y val="0.11204529989306899"/>
          <c:w val="0.29581524351595401"/>
          <c:h val="0.7512180421891709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+mj-lt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Розничная торговля</c:v>
                </c:pt>
              </c:strCache>
            </c:strRef>
          </c:tx>
          <c:invertIfNegative val="0"/>
          <c:cat>
            <c:strRef>
              <c:f>Лист1!$B$1:$F$1</c:f>
              <c:strCach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strCache>
            </c:strRef>
          </c:cat>
          <c:val>
            <c:numRef>
              <c:f>Лист1!$B$2:$F$2</c:f>
              <c:numCache>
                <c:formatCode>0%</c:formatCode>
                <c:ptCount val="5"/>
                <c:pt idx="0">
                  <c:v>0.56000000000000005</c:v>
                </c:pt>
                <c:pt idx="1">
                  <c:v>0.56999999999999995</c:v>
                </c:pt>
                <c:pt idx="2">
                  <c:v>0.51</c:v>
                </c:pt>
                <c:pt idx="3">
                  <c:v>0.56000000000000005</c:v>
                </c:pt>
                <c:pt idx="4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Общественное питание</c:v>
                </c:pt>
              </c:strCache>
            </c:strRef>
          </c:tx>
          <c:invertIfNegative val="0"/>
          <c:cat>
            <c:strRef>
              <c:f>Лист1!$B$1:$F$1</c:f>
              <c:strCach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strCache>
            </c:strRef>
          </c:cat>
          <c:val>
            <c:numRef>
              <c:f>Лист1!$B$3:$F$3</c:f>
              <c:numCache>
                <c:formatCode>0%</c:formatCode>
                <c:ptCount val="5"/>
                <c:pt idx="0">
                  <c:v>0.2</c:v>
                </c:pt>
                <c:pt idx="1">
                  <c:v>0.21</c:v>
                </c:pt>
                <c:pt idx="2">
                  <c:v>0.22</c:v>
                </c:pt>
                <c:pt idx="3">
                  <c:v>0.17</c:v>
                </c:pt>
                <c:pt idx="4">
                  <c:v>0.16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Сфера услуг</c:v>
                </c:pt>
              </c:strCache>
            </c:strRef>
          </c:tx>
          <c:invertIfNegative val="0"/>
          <c:cat>
            <c:strRef>
              <c:f>Лист1!$B$1:$F$1</c:f>
              <c:strCach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strCache>
            </c:strRef>
          </c:cat>
          <c:val>
            <c:numRef>
              <c:f>Лист1!$B$4:$F$4</c:f>
              <c:numCache>
                <c:formatCode>0%</c:formatCode>
                <c:ptCount val="5"/>
                <c:pt idx="0">
                  <c:v>0.18</c:v>
                </c:pt>
                <c:pt idx="1">
                  <c:v>0.18</c:v>
                </c:pt>
                <c:pt idx="2">
                  <c:v>0.23</c:v>
                </c:pt>
                <c:pt idx="3">
                  <c:v>0.25</c:v>
                </c:pt>
                <c:pt idx="4">
                  <c:v>0.26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Производство</c:v>
                </c:pt>
              </c:strCache>
            </c:strRef>
          </c:tx>
          <c:invertIfNegative val="0"/>
          <c:cat>
            <c:strRef>
              <c:f>Лист1!$B$1:$F$1</c:f>
              <c:strCach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strCache>
            </c:strRef>
          </c:cat>
          <c:val>
            <c:numRef>
              <c:f>Лист1!$B$5:$F$5</c:f>
              <c:numCache>
                <c:formatCode>0%</c:formatCode>
                <c:ptCount val="5"/>
                <c:pt idx="0">
                  <c:v>0.06</c:v>
                </c:pt>
                <c:pt idx="1">
                  <c:v>0.04</c:v>
                </c:pt>
                <c:pt idx="2">
                  <c:v>0.04</c:v>
                </c:pt>
                <c:pt idx="3">
                  <c:v>0.02</c:v>
                </c:pt>
                <c:pt idx="4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2722016"/>
        <c:axId val="1762716576"/>
      </c:barChart>
      <c:catAx>
        <c:axId val="1762722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62716576"/>
        <c:crosses val="autoZero"/>
        <c:auto val="1"/>
        <c:lblAlgn val="ctr"/>
        <c:lblOffset val="100"/>
        <c:noMultiLvlLbl val="0"/>
      </c:catAx>
      <c:valAx>
        <c:axId val="1762716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627220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19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22</cp:revision>
  <dcterms:created xsi:type="dcterms:W3CDTF">2014-04-15T17:44:00Z</dcterms:created>
  <dcterms:modified xsi:type="dcterms:W3CDTF">2014-04-16T16:15:00Z</dcterms:modified>
</cp:coreProperties>
</file>