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3C2" w:rsidRPr="00B47CD5" w:rsidRDefault="00A523C2" w:rsidP="006C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УДК </w:t>
      </w:r>
      <w:r w:rsidR="0096781A" w:rsidRPr="00B47CD5">
        <w:rPr>
          <w:rFonts w:ascii="Times New Roman" w:hAnsi="Times New Roman" w:cs="Times New Roman"/>
          <w:sz w:val="24"/>
          <w:szCs w:val="24"/>
        </w:rPr>
        <w:t>004.</w:t>
      </w:r>
      <w:r w:rsidR="00204A02" w:rsidRPr="00B47CD5">
        <w:rPr>
          <w:rFonts w:ascii="Times New Roman" w:hAnsi="Times New Roman" w:cs="Times New Roman"/>
          <w:sz w:val="24"/>
          <w:szCs w:val="24"/>
        </w:rPr>
        <w:t>8</w:t>
      </w:r>
      <w:r w:rsidR="005276E5" w:rsidRPr="00B47CD5">
        <w:rPr>
          <w:rFonts w:ascii="Times New Roman" w:hAnsi="Times New Roman" w:cs="Times New Roman"/>
          <w:sz w:val="24"/>
          <w:szCs w:val="24"/>
        </w:rPr>
        <w:t>91</w:t>
      </w:r>
    </w:p>
    <w:p w:rsidR="00A523C2" w:rsidRPr="00B47CD5" w:rsidRDefault="00A523C2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F1" w:rsidRDefault="00204A02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 xml:space="preserve">Интеллектуализация как основа повышения </w:t>
      </w:r>
    </w:p>
    <w:p w:rsidR="00CA5435" w:rsidRPr="00B47CD5" w:rsidRDefault="00204A02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эффективности деятельности образовательной организации</w:t>
      </w:r>
    </w:p>
    <w:p w:rsidR="00CA5435" w:rsidRPr="00B47CD5" w:rsidRDefault="00CA5435" w:rsidP="006C2F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5435" w:rsidRPr="001306ED" w:rsidRDefault="00245198" w:rsidP="006C2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С.А. Кручинина</w:t>
      </w:r>
      <w:r w:rsidR="00CA5435" w:rsidRPr="00B47CD5">
        <w:rPr>
          <w:rFonts w:ascii="Times New Roman" w:hAnsi="Times New Roman" w:cs="Times New Roman"/>
          <w:sz w:val="24"/>
          <w:szCs w:val="24"/>
        </w:rPr>
        <w:t xml:space="preserve">, </w:t>
      </w:r>
      <w:r w:rsidR="003E2042" w:rsidRPr="00B47CD5">
        <w:rPr>
          <w:rFonts w:ascii="Times New Roman" w:hAnsi="Times New Roman" w:cs="Times New Roman"/>
          <w:sz w:val="24"/>
          <w:szCs w:val="24"/>
        </w:rPr>
        <w:t>аспирант</w:t>
      </w:r>
      <w:r w:rsidR="00204A02" w:rsidRPr="00B47CD5">
        <w:rPr>
          <w:rFonts w:ascii="Times New Roman" w:hAnsi="Times New Roman" w:cs="Times New Roman"/>
          <w:sz w:val="24"/>
          <w:szCs w:val="24"/>
        </w:rPr>
        <w:t xml:space="preserve"> 1 года обучения</w:t>
      </w:r>
      <w:r w:rsidR="00CA5435" w:rsidRPr="00B47CD5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3E2042" w:rsidRPr="00B47CD5">
        <w:rPr>
          <w:rFonts w:ascii="Times New Roman" w:hAnsi="Times New Roman" w:cs="Times New Roman"/>
          <w:sz w:val="24"/>
          <w:szCs w:val="24"/>
        </w:rPr>
        <w:t>математики и естественнонаучных дисциплин</w:t>
      </w:r>
    </w:p>
    <w:p w:rsidR="00204A02" w:rsidRPr="00B47CD5" w:rsidRDefault="00204A02" w:rsidP="006C2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К.Л. Самаров</w:t>
      </w:r>
      <w:r w:rsidRPr="00B47CD5">
        <w:rPr>
          <w:rFonts w:ascii="Times New Roman" w:hAnsi="Times New Roman" w:cs="Times New Roman"/>
          <w:sz w:val="24"/>
          <w:szCs w:val="24"/>
        </w:rPr>
        <w:t>, д.ф.-м.н., профессор кафедры математики и естественнонаучных дисциплин</w:t>
      </w:r>
    </w:p>
    <w:p w:rsidR="00CA5435" w:rsidRPr="00B47CD5" w:rsidRDefault="00CA5435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CD5">
        <w:rPr>
          <w:rFonts w:ascii="Times New Roman" w:hAnsi="Times New Roman" w:cs="Times New Roman"/>
          <w:i/>
          <w:sz w:val="24"/>
          <w:szCs w:val="24"/>
        </w:rPr>
        <w:t>Государственное бюджетное образовательное учреждение</w:t>
      </w:r>
    </w:p>
    <w:p w:rsidR="00CA5435" w:rsidRPr="00B47CD5" w:rsidRDefault="00CA5435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CD5">
        <w:rPr>
          <w:rFonts w:ascii="Times New Roman" w:hAnsi="Times New Roman" w:cs="Times New Roman"/>
          <w:i/>
          <w:sz w:val="24"/>
          <w:szCs w:val="24"/>
        </w:rPr>
        <w:t>высшег</w:t>
      </w:r>
      <w:r w:rsidR="007843B7" w:rsidRPr="00B47CD5">
        <w:rPr>
          <w:rFonts w:ascii="Times New Roman" w:hAnsi="Times New Roman" w:cs="Times New Roman"/>
          <w:i/>
          <w:sz w:val="24"/>
          <w:szCs w:val="24"/>
        </w:rPr>
        <w:t>о образования Московской области</w:t>
      </w:r>
    </w:p>
    <w:p w:rsidR="00CA5435" w:rsidRPr="00B47CD5" w:rsidRDefault="00CA5435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CD5">
        <w:rPr>
          <w:rFonts w:ascii="Times New Roman" w:hAnsi="Times New Roman" w:cs="Times New Roman"/>
          <w:i/>
          <w:sz w:val="24"/>
          <w:szCs w:val="24"/>
        </w:rPr>
        <w:t>«Технологический университет», Корол</w:t>
      </w:r>
      <w:r w:rsidR="00245198" w:rsidRPr="00B47CD5">
        <w:rPr>
          <w:rFonts w:ascii="Times New Roman" w:hAnsi="Times New Roman" w:cs="Times New Roman"/>
          <w:i/>
          <w:sz w:val="24"/>
          <w:szCs w:val="24"/>
        </w:rPr>
        <w:t>ё</w:t>
      </w:r>
      <w:r w:rsidRPr="00B47CD5">
        <w:rPr>
          <w:rFonts w:ascii="Times New Roman" w:hAnsi="Times New Roman" w:cs="Times New Roman"/>
          <w:i/>
          <w:sz w:val="24"/>
          <w:szCs w:val="24"/>
        </w:rPr>
        <w:t>в</w:t>
      </w:r>
    </w:p>
    <w:p w:rsidR="00CA5435" w:rsidRPr="00B47CD5" w:rsidRDefault="00CA5435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70" w:rsidRPr="00B47CD5" w:rsidRDefault="00974287" w:rsidP="009742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47CD5">
        <w:rPr>
          <w:rFonts w:ascii="Times New Roman" w:hAnsi="Times New Roman" w:cs="Times New Roman"/>
          <w:i/>
          <w:sz w:val="24"/>
          <w:szCs w:val="24"/>
        </w:rPr>
        <w:t xml:space="preserve"> современных изменяющихся условиях</w:t>
      </w:r>
      <w:r>
        <w:rPr>
          <w:rFonts w:ascii="Times New Roman" w:hAnsi="Times New Roman" w:cs="Times New Roman"/>
          <w:i/>
          <w:sz w:val="24"/>
          <w:szCs w:val="24"/>
        </w:rPr>
        <w:t>, вызванных комплексом различных причин,</w:t>
      </w:r>
      <w:r w:rsidRPr="00B47C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15557">
        <w:rPr>
          <w:rFonts w:ascii="Times New Roman" w:hAnsi="Times New Roman" w:cs="Times New Roman"/>
          <w:i/>
          <w:sz w:val="24"/>
          <w:szCs w:val="24"/>
        </w:rPr>
        <w:t>оддержка на заданном уровне эффективности д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>еятельност</w:t>
      </w:r>
      <w:r w:rsidR="00315557">
        <w:rPr>
          <w:rFonts w:ascii="Times New Roman" w:hAnsi="Times New Roman" w:cs="Times New Roman"/>
          <w:i/>
          <w:sz w:val="24"/>
          <w:szCs w:val="24"/>
        </w:rPr>
        <w:t>и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 сферы науки и высшего образования требует наличия специализированных инструментов.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 xml:space="preserve"> статье </w:t>
      </w:r>
      <w:r>
        <w:rPr>
          <w:rFonts w:ascii="Times New Roman" w:hAnsi="Times New Roman" w:cs="Times New Roman"/>
          <w:i/>
          <w:sz w:val="24"/>
          <w:szCs w:val="24"/>
        </w:rPr>
        <w:t>предлагается один из таких инструментов, основанный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 xml:space="preserve"> на применении интеллектуальных систем</w:t>
      </w:r>
      <w:r>
        <w:rPr>
          <w:rFonts w:ascii="Times New Roman" w:hAnsi="Times New Roman" w:cs="Times New Roman"/>
          <w:i/>
          <w:sz w:val="24"/>
          <w:szCs w:val="24"/>
        </w:rPr>
        <w:t>, реализация которого возможна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 xml:space="preserve"> как в </w:t>
      </w:r>
      <w:r w:rsidR="00D4444C">
        <w:rPr>
          <w:rFonts w:ascii="Times New Roman" w:hAnsi="Times New Roman" w:cs="Times New Roman"/>
          <w:i/>
          <w:sz w:val="24"/>
          <w:szCs w:val="24"/>
        </w:rPr>
        <w:t>МГОТУ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46070" w:rsidRPr="00B47CD5">
        <w:rPr>
          <w:rFonts w:ascii="Times New Roman" w:hAnsi="Times New Roman" w:cs="Times New Roman"/>
          <w:i/>
          <w:sz w:val="24"/>
          <w:szCs w:val="24"/>
        </w:rPr>
        <w:t>аналогичных образовательных организациях.</w:t>
      </w:r>
    </w:p>
    <w:p w:rsidR="00546070" w:rsidRPr="00B47CD5" w:rsidRDefault="00546070" w:rsidP="006C2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5435" w:rsidRPr="00B47CD5" w:rsidRDefault="00546070" w:rsidP="006C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Интеллектуализация</w:t>
      </w:r>
      <w:r w:rsidR="00CA5435" w:rsidRPr="00B47CD5">
        <w:rPr>
          <w:rFonts w:ascii="Times New Roman" w:hAnsi="Times New Roman" w:cs="Times New Roman"/>
          <w:sz w:val="24"/>
          <w:szCs w:val="24"/>
        </w:rPr>
        <w:t>,</w:t>
      </w:r>
      <w:r w:rsidR="009270A4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Pr="00B47CD5">
        <w:rPr>
          <w:rFonts w:ascii="Times New Roman" w:hAnsi="Times New Roman" w:cs="Times New Roman"/>
          <w:sz w:val="24"/>
          <w:szCs w:val="24"/>
        </w:rPr>
        <w:t>повышение эффективности</w:t>
      </w:r>
      <w:r w:rsidR="001B3ABA" w:rsidRPr="00B47CD5">
        <w:rPr>
          <w:rFonts w:ascii="Times New Roman" w:hAnsi="Times New Roman" w:cs="Times New Roman"/>
          <w:sz w:val="24"/>
          <w:szCs w:val="24"/>
        </w:rPr>
        <w:t>, образовательные организации</w:t>
      </w:r>
      <w:r w:rsidR="00CA5435" w:rsidRPr="00B47CD5">
        <w:rPr>
          <w:rFonts w:ascii="Times New Roman" w:hAnsi="Times New Roman" w:cs="Times New Roman"/>
          <w:sz w:val="24"/>
          <w:szCs w:val="24"/>
        </w:rPr>
        <w:t>.</w:t>
      </w:r>
    </w:p>
    <w:p w:rsidR="00F77856" w:rsidRPr="00B47CD5" w:rsidRDefault="00F77856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70" w:rsidRPr="00B47CD5" w:rsidRDefault="00546070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Intellectualization as the basis for improving </w:t>
      </w:r>
    </w:p>
    <w:p w:rsidR="00CA5435" w:rsidRPr="00B47CD5" w:rsidRDefault="00546070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D5">
        <w:rPr>
          <w:rFonts w:ascii="Times New Roman" w:hAnsi="Times New Roman" w:cs="Times New Roman"/>
          <w:b/>
          <w:sz w:val="24"/>
          <w:szCs w:val="24"/>
          <w:lang w:val="en-US"/>
        </w:rPr>
        <w:t>the effectiveness of educational organizations</w:t>
      </w:r>
    </w:p>
    <w:p w:rsidR="00CA5435" w:rsidRPr="00B47CD5" w:rsidRDefault="00CA5435" w:rsidP="006C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435" w:rsidRPr="001306ED" w:rsidRDefault="00F504D6" w:rsidP="006C2F1D">
      <w:pPr>
        <w:pStyle w:val="Default"/>
        <w:jc w:val="center"/>
        <w:rPr>
          <w:iCs/>
          <w:lang w:val="en-US"/>
        </w:rPr>
      </w:pPr>
      <w:r w:rsidRPr="00B47CD5">
        <w:rPr>
          <w:b/>
          <w:iCs/>
          <w:lang w:val="en-US"/>
        </w:rPr>
        <w:t xml:space="preserve">S.A. </w:t>
      </w:r>
      <w:proofErr w:type="spellStart"/>
      <w:r w:rsidR="00CA5435" w:rsidRPr="00B47CD5">
        <w:rPr>
          <w:b/>
          <w:iCs/>
          <w:lang w:val="en-US"/>
        </w:rPr>
        <w:t>Kruchinina</w:t>
      </w:r>
      <w:proofErr w:type="spellEnd"/>
      <w:r w:rsidR="00CA5435" w:rsidRPr="00B47CD5">
        <w:rPr>
          <w:iCs/>
          <w:lang w:val="en-US"/>
        </w:rPr>
        <w:t>,</w:t>
      </w:r>
      <w:r w:rsidR="00CA5435" w:rsidRPr="00B47CD5">
        <w:rPr>
          <w:b/>
          <w:iCs/>
          <w:lang w:val="en-US"/>
        </w:rPr>
        <w:t xml:space="preserve"> </w:t>
      </w:r>
      <w:r w:rsidR="00204A02" w:rsidRPr="00B47CD5">
        <w:rPr>
          <w:iCs/>
          <w:lang w:val="en-US"/>
        </w:rPr>
        <w:t xml:space="preserve">1 year </w:t>
      </w:r>
      <w:r w:rsidR="003E2042" w:rsidRPr="00B47CD5">
        <w:rPr>
          <w:iCs/>
          <w:lang w:val="en-US"/>
        </w:rPr>
        <w:t>post-graduate student of the Department of Mathematics and Natural Sciences</w:t>
      </w:r>
    </w:p>
    <w:p w:rsidR="00204A02" w:rsidRPr="00B47CD5" w:rsidRDefault="00204A02" w:rsidP="006C2F1D">
      <w:pPr>
        <w:pStyle w:val="Default"/>
        <w:jc w:val="center"/>
        <w:rPr>
          <w:iCs/>
          <w:lang w:val="en-US"/>
        </w:rPr>
      </w:pPr>
      <w:r w:rsidRPr="00B47CD5">
        <w:rPr>
          <w:b/>
          <w:lang w:val="en-US"/>
        </w:rPr>
        <w:t>K.L. Samarov</w:t>
      </w:r>
      <w:r w:rsidRPr="00B47CD5">
        <w:rPr>
          <w:lang w:val="en-US"/>
        </w:rPr>
        <w:t>, d.</w:t>
      </w:r>
      <w:r w:rsidR="00546070" w:rsidRPr="00B47CD5">
        <w:rPr>
          <w:lang w:val="en-US"/>
        </w:rPr>
        <w:t>p.-</w:t>
      </w:r>
      <w:proofErr w:type="spellStart"/>
      <w:r w:rsidR="00546070" w:rsidRPr="00B47CD5">
        <w:rPr>
          <w:lang w:val="en-US"/>
        </w:rPr>
        <w:t>m.s</w:t>
      </w:r>
      <w:proofErr w:type="spellEnd"/>
      <w:r w:rsidR="00546070" w:rsidRPr="00B47CD5">
        <w:rPr>
          <w:lang w:val="en-US"/>
        </w:rPr>
        <w:t>., professor</w:t>
      </w:r>
      <w:r w:rsidRPr="00B47CD5">
        <w:rPr>
          <w:lang w:val="en-US"/>
        </w:rPr>
        <w:t xml:space="preserve"> </w:t>
      </w:r>
      <w:r w:rsidR="00546070" w:rsidRPr="00B47CD5">
        <w:rPr>
          <w:iCs/>
          <w:lang w:val="en-US"/>
        </w:rPr>
        <w:t>of the Department of Mathematics and Natural Sciences</w:t>
      </w:r>
    </w:p>
    <w:p w:rsidR="00CA5435" w:rsidRPr="00B47CD5" w:rsidRDefault="00CA5435" w:rsidP="006C2F1D">
      <w:pPr>
        <w:pStyle w:val="Default"/>
        <w:jc w:val="center"/>
        <w:rPr>
          <w:lang w:val="en-US"/>
        </w:rPr>
      </w:pPr>
      <w:r w:rsidRPr="00B47CD5">
        <w:rPr>
          <w:i/>
          <w:iCs/>
          <w:lang w:val="en-US"/>
        </w:rPr>
        <w:t>State Educational Institution of Higher Education Moscow Region</w:t>
      </w:r>
    </w:p>
    <w:p w:rsidR="00CA5435" w:rsidRPr="00B47CD5" w:rsidRDefault="0082524C" w:rsidP="006C2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7CD5">
        <w:rPr>
          <w:rFonts w:ascii="Times New Roman" w:hAnsi="Times New Roman" w:cs="Times New Roman"/>
          <w:i/>
          <w:iCs/>
          <w:sz w:val="24"/>
          <w:szCs w:val="24"/>
          <w:lang w:val="en-US"/>
        </w:rPr>
        <w:t>«University of Technology»</w:t>
      </w:r>
      <w:r w:rsidR="00CA5435" w:rsidRPr="00B47CD5">
        <w:rPr>
          <w:rFonts w:ascii="Times New Roman" w:hAnsi="Times New Roman" w:cs="Times New Roman"/>
          <w:i/>
          <w:iCs/>
          <w:sz w:val="24"/>
          <w:szCs w:val="24"/>
          <w:lang w:val="en-US"/>
        </w:rPr>
        <w:t>, Korolev</w:t>
      </w:r>
    </w:p>
    <w:p w:rsidR="00CA5435" w:rsidRPr="00B47CD5" w:rsidRDefault="00CA5435" w:rsidP="006C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435" w:rsidRPr="00B47CD5" w:rsidRDefault="00D4444C" w:rsidP="00D444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4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today's changing environment, caused by a complex of different reasons, supporting the performance of educational organizations in the field of science and higher education at a given level requires specialized tools. The article suggests one of these tools, based on the use of intelligent systems, which can be implemented both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UNITECH</w:t>
      </w:r>
      <w:r w:rsidRPr="00D44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in similar educational organizations.</w:t>
      </w:r>
    </w:p>
    <w:p w:rsidR="00CA5435" w:rsidRPr="00B47CD5" w:rsidRDefault="00CA5435" w:rsidP="006C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435" w:rsidRPr="00B47CD5" w:rsidRDefault="00546070" w:rsidP="006C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CD5">
        <w:rPr>
          <w:rFonts w:ascii="Times New Roman" w:hAnsi="Times New Roman" w:cs="Times New Roman"/>
          <w:sz w:val="24"/>
          <w:szCs w:val="24"/>
          <w:lang w:val="en-US"/>
        </w:rPr>
        <w:t>Intellectualization</w:t>
      </w:r>
      <w:r w:rsidR="00DE6DB6" w:rsidRPr="00B47C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7CD5">
        <w:rPr>
          <w:rFonts w:ascii="Times New Roman" w:hAnsi="Times New Roman" w:cs="Times New Roman"/>
          <w:sz w:val="24"/>
          <w:szCs w:val="24"/>
          <w:lang w:val="en-US"/>
        </w:rPr>
        <w:t>improving efficiency</w:t>
      </w:r>
      <w:r w:rsidR="001B3ABA" w:rsidRPr="00B47CD5">
        <w:rPr>
          <w:rFonts w:ascii="Times New Roman" w:hAnsi="Times New Roman" w:cs="Times New Roman"/>
          <w:sz w:val="24"/>
          <w:szCs w:val="24"/>
          <w:lang w:val="en-US"/>
        </w:rPr>
        <w:t>, educational organizations.</w:t>
      </w:r>
    </w:p>
    <w:p w:rsidR="00CA5435" w:rsidRPr="00B47CD5" w:rsidRDefault="00CA5435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435" w:rsidRPr="00B47CD5" w:rsidRDefault="00CA5435" w:rsidP="006C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3749" w:rsidRPr="00B47CD5" w:rsidRDefault="00D4444C" w:rsidP="00EF37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47CD5">
        <w:rPr>
          <w:rFonts w:ascii="Times New Roman" w:hAnsi="Times New Roman" w:cs="Times New Roman"/>
          <w:sz w:val="24"/>
          <w:szCs w:val="24"/>
        </w:rPr>
        <w:t xml:space="preserve">а современном этапе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3749" w:rsidRPr="00B47CD5">
        <w:rPr>
          <w:rFonts w:ascii="Times New Roman" w:hAnsi="Times New Roman" w:cs="Times New Roman"/>
          <w:sz w:val="24"/>
          <w:szCs w:val="24"/>
        </w:rPr>
        <w:t>опросы функционирования и развития образовательной организации как сложной распределенной системы связаны, прежде всего, с изменениями, происходящими в сфере науки и высшего образования в нашей стране. Эти изменения обусловлены новыми стратегическими задачами, сформулированными на федеральном уровне в новом «Законе об образовании в Российской Федерации», а также переходом на новые федеральные государственные образовательные стандарты высшего образования (далее – ФГОС ВО) с учетом профессиональных стандартов (далее – ПС).</w:t>
      </w:r>
    </w:p>
    <w:p w:rsidR="00EF3749" w:rsidRPr="00B47CD5" w:rsidRDefault="00EF3749" w:rsidP="00EF37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(далее – ОО) – некоммерческая организация, осуществляющая на основании лицензии образовательную деятельность в качестве </w:t>
      </w:r>
      <w:r w:rsidRPr="00B47CD5">
        <w:rPr>
          <w:rFonts w:ascii="Times New Roman" w:hAnsi="Times New Roman" w:cs="Times New Roman"/>
          <w:sz w:val="24"/>
          <w:szCs w:val="24"/>
        </w:rPr>
        <w:lastRenderedPageBreak/>
        <w:t>основного вида деятельности в соответствии с целями, ради достижения которых такая организация создана [1,</w:t>
      </w:r>
      <w:r w:rsidR="00765FBB" w:rsidRPr="00B47CD5">
        <w:rPr>
          <w:rFonts w:ascii="Times New Roman" w:hAnsi="Times New Roman" w:cs="Times New Roman"/>
          <w:sz w:val="24"/>
          <w:szCs w:val="24"/>
        </w:rPr>
        <w:t>9</w:t>
      </w:r>
      <w:r w:rsidRPr="00B47CD5">
        <w:rPr>
          <w:rFonts w:ascii="Times New Roman" w:hAnsi="Times New Roman" w:cs="Times New Roman"/>
          <w:sz w:val="24"/>
          <w:szCs w:val="24"/>
        </w:rPr>
        <w:t>].</w:t>
      </w:r>
    </w:p>
    <w:p w:rsidR="00EF3749" w:rsidRPr="00B47CD5" w:rsidRDefault="00EF3749" w:rsidP="00EF37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Далее в статье в качестве типовой образовательной организации рассматривается ГБОУ ВО МО «Технологический университет» (далее – Университет) с его разветвленной структурой, образующей систему, обеспечивающую реализацию образовательного процесса [</w:t>
      </w:r>
      <w:r w:rsidR="00765FBB" w:rsidRPr="00B47CD5">
        <w:rPr>
          <w:rFonts w:ascii="Times New Roman" w:hAnsi="Times New Roman" w:cs="Times New Roman"/>
          <w:sz w:val="24"/>
          <w:szCs w:val="24"/>
        </w:rPr>
        <w:t>8</w:t>
      </w:r>
      <w:r w:rsidRPr="00B47CD5">
        <w:rPr>
          <w:rFonts w:ascii="Times New Roman" w:hAnsi="Times New Roman" w:cs="Times New Roman"/>
          <w:sz w:val="24"/>
          <w:szCs w:val="24"/>
        </w:rPr>
        <w:t>].</w:t>
      </w:r>
    </w:p>
    <w:p w:rsidR="00EF3749" w:rsidRPr="00B47CD5" w:rsidRDefault="00EF3749" w:rsidP="00EF37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Отличительной особенностью многих современных ОО, в частности и исследуемой, являются:</w:t>
      </w:r>
    </w:p>
    <w:p w:rsidR="00EF3749" w:rsidRPr="00B47CD5" w:rsidRDefault="00EF3749" w:rsidP="004D3F8F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работа</w:t>
      </w:r>
      <w:r w:rsidR="00001A4F">
        <w:rPr>
          <w:rFonts w:ascii="Times New Roman" w:hAnsi="Times New Roman" w:cs="Times New Roman"/>
          <w:sz w:val="24"/>
          <w:szCs w:val="24"/>
        </w:rPr>
        <w:t xml:space="preserve"> преподавателей,</w:t>
      </w:r>
      <w:r w:rsidR="00001A4F" w:rsidRPr="00001A4F">
        <w:rPr>
          <w:rFonts w:ascii="Times New Roman" w:hAnsi="Times New Roman" w:cs="Times New Roman"/>
          <w:sz w:val="24"/>
          <w:szCs w:val="24"/>
        </w:rPr>
        <w:t xml:space="preserve"> </w:t>
      </w:r>
      <w:r w:rsidR="00001A4F" w:rsidRPr="00B47CD5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B47CD5">
        <w:rPr>
          <w:rFonts w:ascii="Times New Roman" w:hAnsi="Times New Roman" w:cs="Times New Roman"/>
          <w:sz w:val="24"/>
          <w:szCs w:val="24"/>
        </w:rPr>
        <w:t>на 1,5 ставки</w:t>
      </w:r>
      <w:r w:rsidR="002A13B2">
        <w:rPr>
          <w:rFonts w:ascii="Times New Roman" w:hAnsi="Times New Roman" w:cs="Times New Roman"/>
          <w:sz w:val="24"/>
          <w:szCs w:val="24"/>
        </w:rPr>
        <w:t>, подразумевающая повышенную нагрузку не только в части проведения аудиторной работы, но и в части разработки методического обеспечения образовательного процесса</w:t>
      </w:r>
      <w:r w:rsidRPr="00B47CD5">
        <w:rPr>
          <w:rFonts w:ascii="Times New Roman" w:hAnsi="Times New Roman" w:cs="Times New Roman"/>
          <w:sz w:val="24"/>
          <w:szCs w:val="24"/>
        </w:rPr>
        <w:t>;</w:t>
      </w:r>
    </w:p>
    <w:p w:rsidR="004D3F8F" w:rsidRPr="00B47CD5" w:rsidRDefault="004D3F8F" w:rsidP="004D3F8F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необходимость соблюдения ряда требования к составлению соответствующих документов, в том числе требований ФГОС ВО.</w:t>
      </w:r>
    </w:p>
    <w:p w:rsidR="004D3F8F" w:rsidRPr="00B47CD5" w:rsidRDefault="004D3F8F" w:rsidP="004D3F8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ФГОС ВО и с учетом соответствующих примерных основных образовательных программ (рис. 1) [1].</w:t>
      </w:r>
    </w:p>
    <w:p w:rsidR="004D3F8F" w:rsidRPr="00B47CD5" w:rsidRDefault="004D3F8F" w:rsidP="004D3F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084C9" wp14:editId="07130118">
            <wp:extent cx="4667250" cy="337023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69" cy="33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49" w:rsidRPr="00B47CD5" w:rsidRDefault="004D3F8F" w:rsidP="004D3F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Рисунок 1 – Ключевые понятия федерального закона №273-ФЗ</w:t>
      </w:r>
    </w:p>
    <w:p w:rsidR="00992094" w:rsidRPr="00B47CD5" w:rsidRDefault="00AD5328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001A4F">
        <w:rPr>
          <w:rFonts w:ascii="Times New Roman" w:hAnsi="Times New Roman" w:cs="Times New Roman"/>
          <w:sz w:val="24"/>
          <w:szCs w:val="24"/>
        </w:rPr>
        <w:t>методов</w:t>
      </w:r>
      <w:r w:rsidRPr="00B47CD5">
        <w:rPr>
          <w:rFonts w:ascii="Times New Roman" w:hAnsi="Times New Roman" w:cs="Times New Roman"/>
          <w:sz w:val="24"/>
          <w:szCs w:val="24"/>
        </w:rPr>
        <w:t xml:space="preserve"> системного анализа, было </w:t>
      </w:r>
      <w:r w:rsidR="00001A4F">
        <w:rPr>
          <w:rFonts w:ascii="Times New Roman" w:hAnsi="Times New Roman" w:cs="Times New Roman"/>
          <w:sz w:val="24"/>
          <w:szCs w:val="24"/>
        </w:rPr>
        <w:t>установлено</w:t>
      </w:r>
      <w:r w:rsidRPr="00B47CD5">
        <w:rPr>
          <w:rFonts w:ascii="Times New Roman" w:hAnsi="Times New Roman" w:cs="Times New Roman"/>
          <w:sz w:val="24"/>
          <w:szCs w:val="24"/>
        </w:rPr>
        <w:t>, что в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9B029C" w:rsidRPr="00B47CD5">
        <w:rPr>
          <w:rFonts w:ascii="Times New Roman" w:hAnsi="Times New Roman" w:cs="Times New Roman"/>
          <w:sz w:val="24"/>
          <w:szCs w:val="24"/>
        </w:rPr>
        <w:t>Университете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как </w:t>
      </w:r>
      <w:r w:rsidR="009B029C" w:rsidRPr="00B47CD5">
        <w:rPr>
          <w:rFonts w:ascii="Times New Roman" w:hAnsi="Times New Roman" w:cs="Times New Roman"/>
          <w:sz w:val="24"/>
          <w:szCs w:val="24"/>
        </w:rPr>
        <w:t xml:space="preserve">сложной разветвленной 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системе в наиболее общем виде </w:t>
      </w:r>
      <w:r w:rsidR="009B029C" w:rsidRPr="00B47CD5">
        <w:rPr>
          <w:rFonts w:ascii="Times New Roman" w:hAnsi="Times New Roman" w:cs="Times New Roman"/>
          <w:sz w:val="24"/>
          <w:szCs w:val="24"/>
        </w:rPr>
        <w:t>целесообразно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выделить следующие ключевые структурные элементы (подсистемы): функциональная </w:t>
      </w:r>
      <w:r w:rsidR="009B029C" w:rsidRPr="00B47CD5">
        <w:rPr>
          <w:rFonts w:ascii="Times New Roman" w:hAnsi="Times New Roman" w:cs="Times New Roman"/>
          <w:sz w:val="24"/>
          <w:szCs w:val="24"/>
        </w:rPr>
        <w:t>и обеспечивающая подсистемы</w:t>
      </w:r>
      <w:r w:rsidR="0038520C" w:rsidRPr="00B47CD5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. К </w:t>
      </w:r>
      <w:r w:rsidR="00001A4F">
        <w:rPr>
          <w:rFonts w:ascii="Times New Roman" w:hAnsi="Times New Roman" w:cs="Times New Roman"/>
          <w:sz w:val="24"/>
          <w:szCs w:val="24"/>
        </w:rPr>
        <w:t>функциональной подсистеме</w:t>
      </w:r>
      <w:r w:rsidR="009B029C" w:rsidRPr="00B47CD5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9B029C" w:rsidRPr="00B47CD5">
        <w:rPr>
          <w:rFonts w:ascii="Times New Roman" w:hAnsi="Times New Roman" w:cs="Times New Roman"/>
          <w:sz w:val="24"/>
          <w:szCs w:val="24"/>
        </w:rPr>
        <w:t>отнести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8B2F2D" w:rsidRPr="00B47CD5">
        <w:rPr>
          <w:rFonts w:ascii="Times New Roman" w:hAnsi="Times New Roman" w:cs="Times New Roman"/>
          <w:sz w:val="24"/>
          <w:szCs w:val="24"/>
        </w:rPr>
        <w:t xml:space="preserve">институты (факультеты), включающие </w:t>
      </w:r>
      <w:r w:rsidR="00992094" w:rsidRPr="00B47CD5">
        <w:rPr>
          <w:rFonts w:ascii="Times New Roman" w:hAnsi="Times New Roman" w:cs="Times New Roman"/>
          <w:sz w:val="24"/>
          <w:szCs w:val="24"/>
        </w:rPr>
        <w:t>профессорско-преподавательский состав</w:t>
      </w:r>
      <w:r w:rsidR="002A13B2">
        <w:rPr>
          <w:rFonts w:ascii="Times New Roman" w:hAnsi="Times New Roman" w:cs="Times New Roman"/>
          <w:sz w:val="24"/>
          <w:szCs w:val="24"/>
        </w:rPr>
        <w:t xml:space="preserve"> (далее – ППС)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кафедр, непосредственно осуществляющ</w:t>
      </w:r>
      <w:r w:rsidR="009B029C" w:rsidRPr="00B47CD5">
        <w:rPr>
          <w:rFonts w:ascii="Times New Roman" w:hAnsi="Times New Roman" w:cs="Times New Roman"/>
          <w:sz w:val="24"/>
          <w:szCs w:val="24"/>
        </w:rPr>
        <w:t>их образовательную деятельность;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9B029C" w:rsidRPr="00B47CD5">
        <w:rPr>
          <w:rFonts w:ascii="Times New Roman" w:hAnsi="Times New Roman" w:cs="Times New Roman"/>
          <w:sz w:val="24"/>
          <w:szCs w:val="24"/>
        </w:rPr>
        <w:t xml:space="preserve">к </w:t>
      </w:r>
      <w:r w:rsidR="00001A4F">
        <w:rPr>
          <w:rFonts w:ascii="Times New Roman" w:hAnsi="Times New Roman" w:cs="Times New Roman"/>
          <w:sz w:val="24"/>
          <w:szCs w:val="24"/>
        </w:rPr>
        <w:t>обеспечивающей</w:t>
      </w:r>
      <w:r w:rsidR="009B029C" w:rsidRPr="00B47CD5">
        <w:rPr>
          <w:rFonts w:ascii="Times New Roman" w:hAnsi="Times New Roman" w:cs="Times New Roman"/>
          <w:sz w:val="24"/>
          <w:szCs w:val="24"/>
        </w:rPr>
        <w:t xml:space="preserve"> – </w:t>
      </w:r>
      <w:r w:rsidR="00992094" w:rsidRPr="00B47CD5">
        <w:rPr>
          <w:rFonts w:ascii="Times New Roman" w:hAnsi="Times New Roman" w:cs="Times New Roman"/>
          <w:sz w:val="24"/>
          <w:szCs w:val="24"/>
        </w:rPr>
        <w:t xml:space="preserve">отделы (структурные подразделения), осуществляющие организационно-методическую поддержку функциональной </w:t>
      </w:r>
      <w:r w:rsidR="0038520C" w:rsidRPr="00B47CD5">
        <w:rPr>
          <w:rFonts w:ascii="Times New Roman" w:hAnsi="Times New Roman" w:cs="Times New Roman"/>
          <w:sz w:val="24"/>
          <w:szCs w:val="24"/>
        </w:rPr>
        <w:t>подсистемы [</w:t>
      </w:r>
      <w:r w:rsidRPr="00B47CD5">
        <w:rPr>
          <w:rFonts w:ascii="Times New Roman" w:hAnsi="Times New Roman" w:cs="Times New Roman"/>
          <w:sz w:val="24"/>
          <w:szCs w:val="24"/>
        </w:rPr>
        <w:t>2,3,</w:t>
      </w:r>
      <w:r w:rsidR="005325EE" w:rsidRPr="00B47CD5">
        <w:rPr>
          <w:rFonts w:ascii="Times New Roman" w:hAnsi="Times New Roman" w:cs="Times New Roman"/>
          <w:sz w:val="24"/>
          <w:szCs w:val="24"/>
        </w:rPr>
        <w:t>6</w:t>
      </w:r>
      <w:r w:rsidR="0038520C" w:rsidRPr="00B47CD5">
        <w:rPr>
          <w:rFonts w:ascii="Times New Roman" w:hAnsi="Times New Roman" w:cs="Times New Roman"/>
          <w:sz w:val="24"/>
          <w:szCs w:val="24"/>
        </w:rPr>
        <w:t>]</w:t>
      </w:r>
      <w:r w:rsidR="00992094" w:rsidRPr="00B47CD5">
        <w:rPr>
          <w:rFonts w:ascii="Times New Roman" w:hAnsi="Times New Roman" w:cs="Times New Roman"/>
          <w:sz w:val="24"/>
          <w:szCs w:val="24"/>
        </w:rPr>
        <w:t>.</w:t>
      </w:r>
    </w:p>
    <w:p w:rsidR="005B3F78" w:rsidRPr="00B47CD5" w:rsidRDefault="006470EF" w:rsidP="006C2F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1DA2BF" wp14:editId="2EF97FF6">
            <wp:extent cx="4505325" cy="21154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09" cy="21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C" w:rsidRPr="00B47CD5" w:rsidRDefault="00CC259E" w:rsidP="00CC25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Рисунок 2</w:t>
      </w:r>
      <w:r w:rsidR="007800FC" w:rsidRPr="00B47C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47CD5">
        <w:rPr>
          <w:rFonts w:ascii="Times New Roman" w:hAnsi="Times New Roman" w:cs="Times New Roman"/>
          <w:b/>
          <w:sz w:val="24"/>
          <w:szCs w:val="24"/>
        </w:rPr>
        <w:t>Обобщенная структура</w:t>
      </w:r>
      <w:r w:rsidR="00D804C7" w:rsidRPr="00B47CD5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765FBB" w:rsidRPr="00765FBB" w:rsidRDefault="00D858E5" w:rsidP="00765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CD5">
        <w:rPr>
          <w:rFonts w:ascii="Times New Roman" w:eastAsia="Calibri" w:hAnsi="Times New Roman" w:cs="Times New Roman"/>
          <w:sz w:val="24"/>
          <w:szCs w:val="24"/>
          <w:lang w:eastAsia="ru-RU"/>
        </w:rPr>
        <w:t>В интересах</w:t>
      </w:r>
      <w:r w:rsidR="00765FBB"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оценки эффективности существующей системы управления образовательной организацией была использована адаптированная к условиям</w:t>
      </w:r>
      <w:r w:rsidR="00001A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МГОТУ</w:t>
      </w:r>
      <w:r w:rsidR="00765FBB"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методика </w:t>
      </w:r>
      <w:proofErr w:type="spellStart"/>
      <w:r w:rsidR="00765FBB"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>Домарева</w:t>
      </w:r>
      <w:proofErr w:type="spellEnd"/>
      <w:r w:rsidR="00765FBB"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FBB"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325EE" w:rsidRPr="00B47CD5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="00765FBB"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65FBB"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5FBB" w:rsidRPr="00765FBB" w:rsidRDefault="00765FBB" w:rsidP="00765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методика п</w:t>
      </w: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собой функциональную оценку эффективности </w:t>
      </w:r>
      <w:r w:rsidRPr="00765FBB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управления образовательной организацией</w:t>
      </w: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формализации ее функционирования (табл. 1) по трем аспектам (ракурсам):</w:t>
      </w:r>
    </w:p>
    <w:p w:rsidR="00765FBB" w:rsidRPr="00765FBB" w:rsidRDefault="00765FBB" w:rsidP="00765FB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построения ОО;</w:t>
      </w:r>
    </w:p>
    <w:p w:rsidR="00765FBB" w:rsidRPr="00765FBB" w:rsidRDefault="00765FBB" w:rsidP="00765FB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элементы ОО;</w:t>
      </w:r>
    </w:p>
    <w:p w:rsidR="00765FBB" w:rsidRPr="00765FBB" w:rsidRDefault="00765FBB" w:rsidP="00765FB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этапы функционирования ОО.</w:t>
      </w:r>
    </w:p>
    <w:p w:rsidR="00765FBB" w:rsidRPr="00765FBB" w:rsidRDefault="00765FBB" w:rsidP="0076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FBB">
        <w:rPr>
          <w:rFonts w:ascii="Times New Roman" w:eastAsia="Calibri" w:hAnsi="Times New Roman" w:cs="Times New Roman"/>
          <w:sz w:val="24"/>
          <w:szCs w:val="24"/>
        </w:rPr>
        <w:t>Основы построения ОО – правовые (нормативно-методическая база), организационные (структура и задачи подразделений) и технические (технические средства и программно-аппаратные комплексы).</w:t>
      </w:r>
    </w:p>
    <w:p w:rsidR="00765FBB" w:rsidRPr="00765FBB" w:rsidRDefault="00765FBB" w:rsidP="0076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FBB">
        <w:rPr>
          <w:rFonts w:ascii="Times New Roman" w:eastAsia="Calibri" w:hAnsi="Times New Roman" w:cs="Times New Roman"/>
          <w:sz w:val="24"/>
          <w:szCs w:val="24"/>
        </w:rPr>
        <w:t>Базовые элементы ОО (подсистемы) – функциональная и обеспечивающая подсистемы.</w:t>
      </w:r>
    </w:p>
    <w:p w:rsidR="00765FBB" w:rsidRPr="00765FBB" w:rsidRDefault="00765FBB" w:rsidP="0076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FBB">
        <w:rPr>
          <w:rFonts w:ascii="Times New Roman" w:eastAsia="Calibri" w:hAnsi="Times New Roman" w:cs="Times New Roman"/>
          <w:sz w:val="24"/>
          <w:szCs w:val="24"/>
        </w:rPr>
        <w:t>Типовые этапы функционирования ОО:</w:t>
      </w:r>
    </w:p>
    <w:p w:rsidR="00765FBB" w:rsidRPr="00765FBB" w:rsidRDefault="00765FBB" w:rsidP="00765FB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качества образования;</w:t>
      </w:r>
    </w:p>
    <w:p w:rsidR="00765FBB" w:rsidRPr="00765FBB" w:rsidRDefault="00765FBB" w:rsidP="00765FB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управление;</w:t>
      </w:r>
    </w:p>
    <w:p w:rsidR="00765FBB" w:rsidRPr="00765FBB" w:rsidRDefault="00765FBB" w:rsidP="00765FB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информационных технологий;</w:t>
      </w:r>
    </w:p>
    <w:p w:rsidR="00765FBB" w:rsidRPr="00765FBB" w:rsidRDefault="00765FBB" w:rsidP="00765FB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библиотека.</w:t>
      </w:r>
    </w:p>
    <w:p w:rsidR="00765FBB" w:rsidRPr="00765FBB" w:rsidRDefault="00765FBB" w:rsidP="00765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Матрица функционирования ОО по трем аспе</w:t>
      </w:r>
      <w:r w:rsidRPr="00B4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6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</w:t>
      </w:r>
    </w:p>
    <w:tbl>
      <w:tblPr>
        <w:tblStyle w:val="1"/>
        <w:tblW w:w="9135" w:type="dxa"/>
        <w:jc w:val="center"/>
        <w:tblLook w:val="04A0" w:firstRow="1" w:lastRow="0" w:firstColumn="1" w:lastColumn="0" w:noHBand="0" w:noVBand="1"/>
      </w:tblPr>
      <w:tblGrid>
        <w:gridCol w:w="567"/>
        <w:gridCol w:w="4424"/>
        <w:gridCol w:w="516"/>
        <w:gridCol w:w="516"/>
        <w:gridCol w:w="516"/>
        <w:gridCol w:w="516"/>
        <w:gridCol w:w="516"/>
        <w:gridCol w:w="516"/>
        <w:gridCol w:w="532"/>
        <w:gridCol w:w="516"/>
      </w:tblGrid>
      <w:tr w:rsidR="00765FBB" w:rsidRPr="0023738E" w:rsidTr="0023738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 w:firstLine="4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Этапы</w:t>
            </w:r>
          </w:p>
        </w:tc>
        <w:tc>
          <w:tcPr>
            <w:tcW w:w="4424" w:type="dxa"/>
            <w:vMerge w:val="restart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&gt;</w:t>
            </w:r>
          </w:p>
        </w:tc>
        <w:tc>
          <w:tcPr>
            <w:tcW w:w="2064" w:type="dxa"/>
            <w:gridSpan w:val="4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hanging="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080" w:type="dxa"/>
            <w:gridSpan w:val="4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hanging="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</w:tr>
      <w:tr w:rsidR="00765FBB" w:rsidRPr="0023738E" w:rsidTr="0023738E">
        <w:trPr>
          <w:jc w:val="center"/>
        </w:trPr>
        <w:tc>
          <w:tcPr>
            <w:tcW w:w="567" w:type="dxa"/>
            <w:vMerge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vMerge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hanging="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п/с</w:t>
            </w:r>
          </w:p>
        </w:tc>
        <w:tc>
          <w:tcPr>
            <w:tcW w:w="2080" w:type="dxa"/>
            <w:gridSpan w:val="4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hanging="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п/с</w:t>
            </w:r>
          </w:p>
        </w:tc>
      </w:tr>
      <w:tr w:rsidR="0023738E" w:rsidRPr="0023738E" w:rsidTr="0023738E">
        <w:trPr>
          <w:cantSplit/>
          <w:trHeight w:val="1299"/>
          <w:jc w:val="center"/>
        </w:trPr>
        <w:tc>
          <w:tcPr>
            <w:tcW w:w="567" w:type="dxa"/>
            <w:vMerge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&gt;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38E">
              <w:rPr>
                <w:rFonts w:ascii="Times New Roman" w:eastAsia="Calibri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38E">
              <w:rPr>
                <w:rFonts w:ascii="Times New Roman" w:eastAsia="Calibri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532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</w:t>
            </w:r>
          </w:p>
        </w:tc>
        <w:tc>
          <w:tcPr>
            <w:tcW w:w="516" w:type="dxa"/>
            <w:textDirection w:val="btLr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23738E" w:rsidRPr="0023738E" w:rsidTr="0023738E">
        <w:trPr>
          <w:jc w:val="center"/>
        </w:trPr>
        <w:tc>
          <w:tcPr>
            <w:tcW w:w="567" w:type="dxa"/>
            <w:vMerge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vMerge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ind w:firstLine="4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32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</w:tr>
      <w:tr w:rsidR="0023738E" w:rsidRPr="0023738E" w:rsidTr="0023738E">
        <w:trPr>
          <w:jc w:val="center"/>
        </w:trPr>
        <w:tc>
          <w:tcPr>
            <w:tcW w:w="567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24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качества образования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2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23738E" w:rsidRPr="0023738E" w:rsidTr="0023738E">
        <w:trPr>
          <w:jc w:val="center"/>
        </w:trPr>
        <w:tc>
          <w:tcPr>
            <w:tcW w:w="567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24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управление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32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23738E" w:rsidRPr="0023738E" w:rsidTr="0023738E">
        <w:trPr>
          <w:jc w:val="center"/>
        </w:trPr>
        <w:tc>
          <w:tcPr>
            <w:tcW w:w="567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24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информационных технологий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32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</w:tr>
      <w:tr w:rsidR="0023738E" w:rsidRPr="0023738E" w:rsidTr="0023738E">
        <w:trPr>
          <w:jc w:val="center"/>
        </w:trPr>
        <w:tc>
          <w:tcPr>
            <w:tcW w:w="567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24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532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16" w:type="dxa"/>
            <w:vAlign w:val="center"/>
          </w:tcPr>
          <w:p w:rsidR="00765FBB" w:rsidRPr="0023738E" w:rsidRDefault="00765FBB" w:rsidP="00765FBB">
            <w:pPr>
              <w:autoSpaceDE w:val="0"/>
              <w:autoSpaceDN w:val="0"/>
              <w:adjustRightInd w:val="0"/>
              <w:spacing w:line="2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</w:tr>
    </w:tbl>
    <w:p w:rsidR="00765FBB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eastAsia="Calibri" w:hAnsi="Times New Roman" w:cs="Times New Roman"/>
          <w:sz w:val="24"/>
          <w:szCs w:val="24"/>
        </w:rPr>
        <w:t xml:space="preserve">Стоит отметить, что одним из важных направлений деятельности современной ОО является </w:t>
      </w:r>
      <w:r w:rsidR="00657D93">
        <w:rPr>
          <w:rFonts w:ascii="Times New Roman" w:eastAsia="Calibri" w:hAnsi="Times New Roman" w:cs="Times New Roman"/>
          <w:sz w:val="24"/>
          <w:szCs w:val="24"/>
        </w:rPr>
        <w:t xml:space="preserve">стратегия ее развития. </w:t>
      </w:r>
      <w:r w:rsidRPr="00B47CD5">
        <w:rPr>
          <w:rFonts w:ascii="Times New Roman" w:hAnsi="Times New Roman" w:cs="Times New Roman"/>
          <w:sz w:val="24"/>
          <w:szCs w:val="24"/>
        </w:rPr>
        <w:t>Наличие в ОО обоснованной стратегии развития позволяет определить требуемый уровень эффективности деятельности. В основ</w:t>
      </w:r>
      <w:r w:rsidR="00001A4F">
        <w:rPr>
          <w:rFonts w:ascii="Times New Roman" w:hAnsi="Times New Roman" w:cs="Times New Roman"/>
          <w:sz w:val="24"/>
          <w:szCs w:val="24"/>
        </w:rPr>
        <w:t>е</w:t>
      </w:r>
      <w:r w:rsidRPr="00B47CD5">
        <w:rPr>
          <w:rFonts w:ascii="Times New Roman" w:hAnsi="Times New Roman" w:cs="Times New Roman"/>
          <w:sz w:val="24"/>
          <w:szCs w:val="24"/>
        </w:rPr>
        <w:t xml:space="preserve"> определения требуемого уровня эффективности деятельности ОО лежит </w:t>
      </w:r>
      <w:proofErr w:type="gramStart"/>
      <w:r w:rsidRPr="00B47CD5">
        <w:rPr>
          <w:rFonts w:ascii="Times New Roman" w:hAnsi="Times New Roman" w:cs="Times New Roman"/>
          <w:sz w:val="24"/>
          <w:szCs w:val="24"/>
        </w:rPr>
        <w:t>эмпирический  подход</w:t>
      </w:r>
      <w:proofErr w:type="gramEnd"/>
      <w:r w:rsidRPr="00B47CD5">
        <w:rPr>
          <w:rFonts w:ascii="Times New Roman" w:hAnsi="Times New Roman" w:cs="Times New Roman"/>
          <w:sz w:val="24"/>
          <w:szCs w:val="24"/>
        </w:rPr>
        <w:t xml:space="preserve"> определения наиболее целесообразного критерия – вероятность достижения желаемого результата. При этом требуемую вероятность достижения желаемого </w:t>
      </w:r>
      <w:r w:rsidRPr="00B47CD5">
        <w:rPr>
          <w:rFonts w:ascii="Times New Roman" w:hAnsi="Times New Roman" w:cs="Times New Roman"/>
          <w:sz w:val="24"/>
          <w:szCs w:val="24"/>
        </w:rPr>
        <w:lastRenderedPageBreak/>
        <w:t>результата целесообразно определять для каждого вида стратегии развития на основе метода половинного деления единичного отрезка (рис. 3).</w:t>
      </w:r>
    </w:p>
    <w:p w:rsidR="00765FBB" w:rsidRPr="00B47CD5" w:rsidRDefault="00765FBB" w:rsidP="00765FB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EBC89" wp14:editId="2E83A824">
            <wp:extent cx="3347499" cy="791489"/>
            <wp:effectExtent l="0" t="0" r="571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21" cy="7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1" w:rsidRPr="00B47CD5" w:rsidRDefault="00765FBB" w:rsidP="00765FB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eastAsia="Calibri" w:hAnsi="Times New Roman" w:cs="Times New Roman"/>
          <w:b/>
          <w:sz w:val="24"/>
          <w:szCs w:val="24"/>
        </w:rPr>
        <w:t>Рисунок 3 – Метод определения стратегии развития</w:t>
      </w:r>
    </w:p>
    <w:p w:rsidR="00765FBB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На практике, как правило, выделяют следующие основные типы стратегий развития (рис. 4):</w:t>
      </w:r>
    </w:p>
    <w:p w:rsidR="00765FBB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•</w:t>
      </w:r>
      <w:r w:rsidRPr="00B47CD5">
        <w:rPr>
          <w:rFonts w:ascii="Times New Roman" w:hAnsi="Times New Roman" w:cs="Times New Roman"/>
          <w:sz w:val="24"/>
          <w:szCs w:val="24"/>
        </w:rPr>
        <w:tab/>
        <w:t>Пассивная стратегия развития – стратегия развития, при которой в ОО применяются уже отработанные образовательные технологии для подготовки специалистов узкой направленности при отсутствии влияния окружающей среды на деятельность ОО, а вероятность достижения желаемого результата должна находиться в пред</w:t>
      </w:r>
      <w:r w:rsidR="0023738E">
        <w:rPr>
          <w:rFonts w:ascii="Times New Roman" w:hAnsi="Times New Roman" w:cs="Times New Roman"/>
          <w:sz w:val="24"/>
          <w:szCs w:val="24"/>
        </w:rPr>
        <w:t xml:space="preserve">елах от 0,75 до 0,87 (0,75 ≤ P </w:t>
      </w:r>
      <w:r w:rsidR="0023738E" w:rsidRPr="0023738E">
        <w:rPr>
          <w:rFonts w:ascii="Times New Roman" w:hAnsi="Times New Roman" w:cs="Times New Roman"/>
          <w:sz w:val="24"/>
          <w:szCs w:val="24"/>
        </w:rPr>
        <w:t>&lt;</w:t>
      </w:r>
      <w:r w:rsidRPr="00B47CD5">
        <w:rPr>
          <w:rFonts w:ascii="Times New Roman" w:hAnsi="Times New Roman" w:cs="Times New Roman"/>
          <w:sz w:val="24"/>
          <w:szCs w:val="24"/>
        </w:rPr>
        <w:t xml:space="preserve"> 0,8</w:t>
      </w:r>
      <w:r w:rsidR="0023738E" w:rsidRPr="0023738E">
        <w:rPr>
          <w:rFonts w:ascii="Times New Roman" w:hAnsi="Times New Roman" w:cs="Times New Roman"/>
          <w:sz w:val="24"/>
          <w:szCs w:val="24"/>
        </w:rPr>
        <w:t>7</w:t>
      </w:r>
      <w:r w:rsidRPr="00B47CD5">
        <w:rPr>
          <w:rFonts w:ascii="Times New Roman" w:hAnsi="Times New Roman" w:cs="Times New Roman"/>
          <w:sz w:val="24"/>
          <w:szCs w:val="24"/>
        </w:rPr>
        <w:t>);</w:t>
      </w:r>
    </w:p>
    <w:p w:rsidR="00765FBB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•</w:t>
      </w:r>
      <w:r w:rsidRPr="00B47CD5">
        <w:rPr>
          <w:rFonts w:ascii="Times New Roman" w:hAnsi="Times New Roman" w:cs="Times New Roman"/>
          <w:sz w:val="24"/>
          <w:szCs w:val="24"/>
        </w:rPr>
        <w:tab/>
        <w:t>Активная стратегия развития – стратегия развития, при которой ОО осуществляет мониторинг и внедрение новых образовательных технологий для подготовки специалистов по отдельным отраслям при наличии частичного влияния окружающей среды, а вероятность достижения желаемого результата должна находиться</w:t>
      </w:r>
      <w:r w:rsidR="0023738E">
        <w:rPr>
          <w:rFonts w:ascii="Times New Roman" w:hAnsi="Times New Roman" w:cs="Times New Roman"/>
          <w:sz w:val="24"/>
          <w:szCs w:val="24"/>
        </w:rPr>
        <w:t xml:space="preserve"> в пределах от 0,87 до 0,93 (0,87 ≤ P </w:t>
      </w:r>
      <w:r w:rsidR="0023738E" w:rsidRPr="0023738E">
        <w:rPr>
          <w:rFonts w:ascii="Times New Roman" w:hAnsi="Times New Roman" w:cs="Times New Roman"/>
          <w:sz w:val="24"/>
          <w:szCs w:val="24"/>
        </w:rPr>
        <w:t>&lt;</w:t>
      </w:r>
      <w:r w:rsidRPr="00B47CD5">
        <w:rPr>
          <w:rFonts w:ascii="Times New Roman" w:hAnsi="Times New Roman" w:cs="Times New Roman"/>
          <w:sz w:val="24"/>
          <w:szCs w:val="24"/>
        </w:rPr>
        <w:t xml:space="preserve"> 0,</w:t>
      </w:r>
      <w:r w:rsidR="0023738E">
        <w:rPr>
          <w:rFonts w:ascii="Times New Roman" w:hAnsi="Times New Roman" w:cs="Times New Roman"/>
          <w:sz w:val="24"/>
          <w:szCs w:val="24"/>
        </w:rPr>
        <w:t>93</w:t>
      </w:r>
      <w:r w:rsidRPr="00B47CD5">
        <w:rPr>
          <w:rFonts w:ascii="Times New Roman" w:hAnsi="Times New Roman" w:cs="Times New Roman"/>
          <w:sz w:val="24"/>
          <w:szCs w:val="24"/>
        </w:rPr>
        <w:t>);</w:t>
      </w:r>
    </w:p>
    <w:p w:rsidR="00765FBB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•</w:t>
      </w:r>
      <w:r w:rsidRPr="00B47CD5">
        <w:rPr>
          <w:rFonts w:ascii="Times New Roman" w:hAnsi="Times New Roman" w:cs="Times New Roman"/>
          <w:sz w:val="24"/>
          <w:szCs w:val="24"/>
        </w:rPr>
        <w:tab/>
        <w:t>Опережающая стратегия развития – стратегия развития, при которой ОО активно разрабатывает и внедряет передовые образовательные технологии, реализует широкий спектр направлений подготовки при полном влиянии окружающей среды на деятельность ОО, а вероятность достижения желаемого результата должна находиться</w:t>
      </w:r>
      <w:r w:rsidR="0023738E">
        <w:rPr>
          <w:rFonts w:ascii="Times New Roman" w:hAnsi="Times New Roman" w:cs="Times New Roman"/>
          <w:sz w:val="24"/>
          <w:szCs w:val="24"/>
        </w:rPr>
        <w:t xml:space="preserve"> в пределах от 0,93 до 1 (0,</w:t>
      </w:r>
      <w:r w:rsidR="0023738E" w:rsidRPr="0023738E">
        <w:rPr>
          <w:rFonts w:ascii="Times New Roman" w:hAnsi="Times New Roman" w:cs="Times New Roman"/>
          <w:sz w:val="24"/>
          <w:szCs w:val="24"/>
        </w:rPr>
        <w:t>93</w:t>
      </w:r>
      <w:r w:rsidR="0023738E">
        <w:rPr>
          <w:rFonts w:ascii="Times New Roman" w:hAnsi="Times New Roman" w:cs="Times New Roman"/>
          <w:sz w:val="24"/>
          <w:szCs w:val="24"/>
        </w:rPr>
        <w:t xml:space="preserve"> ≤ P </w:t>
      </w:r>
      <w:r w:rsidR="0023738E" w:rsidRPr="0023738E">
        <w:rPr>
          <w:rFonts w:ascii="Times New Roman" w:hAnsi="Times New Roman" w:cs="Times New Roman"/>
          <w:sz w:val="24"/>
          <w:szCs w:val="24"/>
        </w:rPr>
        <w:t>&lt;</w:t>
      </w:r>
      <w:r w:rsidR="0023738E">
        <w:rPr>
          <w:rFonts w:ascii="Times New Roman" w:hAnsi="Times New Roman" w:cs="Times New Roman"/>
          <w:sz w:val="24"/>
          <w:szCs w:val="24"/>
        </w:rPr>
        <w:t xml:space="preserve"> </w:t>
      </w:r>
      <w:r w:rsidR="0023738E" w:rsidRPr="0023738E">
        <w:rPr>
          <w:rFonts w:ascii="Times New Roman" w:hAnsi="Times New Roman" w:cs="Times New Roman"/>
          <w:sz w:val="24"/>
          <w:szCs w:val="24"/>
        </w:rPr>
        <w:t>1</w:t>
      </w:r>
      <w:r w:rsidRPr="00B47CD5">
        <w:rPr>
          <w:rFonts w:ascii="Times New Roman" w:hAnsi="Times New Roman" w:cs="Times New Roman"/>
          <w:sz w:val="24"/>
          <w:szCs w:val="24"/>
        </w:rPr>
        <w:t>).</w:t>
      </w:r>
    </w:p>
    <w:p w:rsidR="00CD5621" w:rsidRPr="00B47CD5" w:rsidRDefault="00765FBB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С учетом вышеизложенного можно заключить, что руководством Университета утвержд</w:t>
      </w:r>
      <w:r w:rsidR="00C34D06">
        <w:rPr>
          <w:rFonts w:ascii="Times New Roman" w:hAnsi="Times New Roman" w:cs="Times New Roman"/>
          <w:sz w:val="24"/>
          <w:szCs w:val="24"/>
        </w:rPr>
        <w:t xml:space="preserve">ена активная стратегия развития (0,87 ≤ P </w:t>
      </w:r>
      <w:r w:rsidR="00C34D06" w:rsidRPr="0023738E">
        <w:rPr>
          <w:rFonts w:ascii="Times New Roman" w:hAnsi="Times New Roman" w:cs="Times New Roman"/>
          <w:sz w:val="24"/>
          <w:szCs w:val="24"/>
        </w:rPr>
        <w:t>&lt;</w:t>
      </w:r>
      <w:r w:rsidR="00C34D06" w:rsidRPr="00B47CD5">
        <w:rPr>
          <w:rFonts w:ascii="Times New Roman" w:hAnsi="Times New Roman" w:cs="Times New Roman"/>
          <w:sz w:val="24"/>
          <w:szCs w:val="24"/>
        </w:rPr>
        <w:t xml:space="preserve"> 0,</w:t>
      </w:r>
      <w:r w:rsidR="00C34D06">
        <w:rPr>
          <w:rFonts w:ascii="Times New Roman" w:hAnsi="Times New Roman" w:cs="Times New Roman"/>
          <w:sz w:val="24"/>
          <w:szCs w:val="24"/>
        </w:rPr>
        <w:t>93)</w:t>
      </w:r>
      <w:r w:rsidRPr="00B47CD5">
        <w:rPr>
          <w:rFonts w:ascii="Times New Roman" w:hAnsi="Times New Roman" w:cs="Times New Roman"/>
          <w:sz w:val="24"/>
          <w:szCs w:val="24"/>
        </w:rPr>
        <w:t>.</w:t>
      </w:r>
    </w:p>
    <w:p w:rsidR="00CD5621" w:rsidRPr="00B47CD5" w:rsidRDefault="00765FBB" w:rsidP="00765FB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634CA" wp14:editId="33B3D657">
            <wp:extent cx="4115724" cy="401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62" cy="40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BB" w:rsidRPr="00B47CD5" w:rsidRDefault="00765FBB" w:rsidP="00765FBB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Рисунок 4 – Основные типы стратегий развития</w:t>
      </w:r>
    </w:p>
    <w:p w:rsidR="00765FBB" w:rsidRPr="00B47CD5" w:rsidRDefault="00124E67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проведенного анализа Университета на</w:t>
      </w:r>
      <w:r w:rsidR="00765FBB" w:rsidRPr="00B47CD5">
        <w:rPr>
          <w:rFonts w:ascii="Times New Roman" w:hAnsi="Times New Roman" w:cs="Times New Roman"/>
          <w:sz w:val="24"/>
          <w:szCs w:val="24"/>
        </w:rPr>
        <w:t xml:space="preserve"> основе адаптированной к данному исследованию методики </w:t>
      </w:r>
      <w:proofErr w:type="spellStart"/>
      <w:r w:rsidR="00765FBB" w:rsidRPr="00B47CD5">
        <w:rPr>
          <w:rFonts w:ascii="Times New Roman" w:hAnsi="Times New Roman" w:cs="Times New Roman"/>
          <w:sz w:val="24"/>
          <w:szCs w:val="24"/>
        </w:rPr>
        <w:t>Домарева</w:t>
      </w:r>
      <w:proofErr w:type="spellEnd"/>
      <w:r w:rsidR="00765FBB" w:rsidRPr="00B47CD5">
        <w:rPr>
          <w:rFonts w:ascii="Times New Roman" w:hAnsi="Times New Roman" w:cs="Times New Roman"/>
          <w:sz w:val="24"/>
          <w:szCs w:val="24"/>
        </w:rPr>
        <w:t xml:space="preserve"> [</w:t>
      </w:r>
      <w:r w:rsidR="00D858E5" w:rsidRPr="00B47CD5">
        <w:rPr>
          <w:rFonts w:ascii="Times New Roman" w:hAnsi="Times New Roman" w:cs="Times New Roman"/>
          <w:sz w:val="24"/>
          <w:szCs w:val="24"/>
        </w:rPr>
        <w:t>4</w:t>
      </w:r>
      <w:r w:rsidR="00765FBB" w:rsidRPr="00B47CD5">
        <w:rPr>
          <w:rFonts w:ascii="Times New Roman" w:hAnsi="Times New Roman" w:cs="Times New Roman"/>
          <w:sz w:val="24"/>
          <w:szCs w:val="24"/>
        </w:rPr>
        <w:t>,</w:t>
      </w:r>
      <w:r w:rsidR="005325EE" w:rsidRPr="00B47CD5">
        <w:rPr>
          <w:rFonts w:ascii="Times New Roman" w:hAnsi="Times New Roman" w:cs="Times New Roman"/>
          <w:sz w:val="24"/>
          <w:szCs w:val="24"/>
        </w:rPr>
        <w:t>7</w:t>
      </w:r>
      <w:r w:rsidR="00765FBB" w:rsidRPr="00B47CD5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позволяют сформировать данные,</w:t>
      </w:r>
      <w:r w:rsidR="00765FBB" w:rsidRPr="00B47CD5">
        <w:rPr>
          <w:rFonts w:ascii="Times New Roman" w:hAnsi="Times New Roman" w:cs="Times New Roman"/>
          <w:sz w:val="24"/>
          <w:szCs w:val="24"/>
        </w:rPr>
        <w:t xml:space="preserve"> от</w:t>
      </w:r>
      <w:r w:rsidR="006B1C20">
        <w:rPr>
          <w:rFonts w:ascii="Times New Roman" w:hAnsi="Times New Roman" w:cs="Times New Roman"/>
          <w:sz w:val="24"/>
          <w:szCs w:val="24"/>
        </w:rPr>
        <w:t>раженные в виде таблицы (табл. 2</w:t>
      </w:r>
      <w:r w:rsidR="00765FBB" w:rsidRPr="00B47CD5">
        <w:rPr>
          <w:rFonts w:ascii="Times New Roman" w:hAnsi="Times New Roman" w:cs="Times New Roman"/>
          <w:sz w:val="24"/>
          <w:szCs w:val="24"/>
        </w:rPr>
        <w:t>).</w:t>
      </w:r>
    </w:p>
    <w:p w:rsidR="00765FBB" w:rsidRDefault="00765FBB" w:rsidP="00765FB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Таблица 2 – Полученные результаты</w:t>
      </w:r>
    </w:p>
    <w:p w:rsidR="006B1C20" w:rsidRDefault="006B1C20" w:rsidP="006B1C2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1300" cy="18155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8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1" w:rsidRPr="00B47CD5" w:rsidRDefault="00765FBB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Из таблицы 2 видно, что обеспечивающая подсистема </w:t>
      </w:r>
      <w:r w:rsidR="00F16C6A">
        <w:rPr>
          <w:rFonts w:ascii="Times New Roman" w:hAnsi="Times New Roman" w:cs="Times New Roman"/>
          <w:sz w:val="24"/>
          <w:szCs w:val="24"/>
        </w:rPr>
        <w:t>не удовлетворяет требуемым показателям</w:t>
      </w:r>
      <w:r w:rsidRPr="00B47CD5">
        <w:rPr>
          <w:rFonts w:ascii="Times New Roman" w:hAnsi="Times New Roman" w:cs="Times New Roman"/>
          <w:sz w:val="24"/>
          <w:szCs w:val="24"/>
        </w:rPr>
        <w:t>, что</w:t>
      </w:r>
      <w:r w:rsidR="00F16C6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B47CD5">
        <w:rPr>
          <w:rFonts w:ascii="Times New Roman" w:hAnsi="Times New Roman" w:cs="Times New Roman"/>
          <w:sz w:val="24"/>
          <w:szCs w:val="24"/>
        </w:rPr>
        <w:t xml:space="preserve"> негативно отражается на итоговом показателе.</w:t>
      </w:r>
    </w:p>
    <w:p w:rsidR="00765FBB" w:rsidRDefault="00765FBB" w:rsidP="00765FB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>Таблица 3 – Детализация полученных результатов</w:t>
      </w:r>
    </w:p>
    <w:p w:rsidR="006B1C20" w:rsidRDefault="006B1C20" w:rsidP="006B1C2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584390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71" cy="584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B2" w:rsidRDefault="001306ED" w:rsidP="00765F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306ED">
        <w:rPr>
          <w:rFonts w:ascii="Times New Roman" w:hAnsi="Times New Roman" w:cs="Times New Roman"/>
          <w:sz w:val="24"/>
          <w:szCs w:val="24"/>
        </w:rPr>
        <w:lastRenderedPageBreak/>
        <w:t>Последующая детализация полученных результатов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(табл. 3) </w:t>
      </w:r>
      <w:r w:rsidRPr="001306ED">
        <w:rPr>
          <w:rFonts w:ascii="Times New Roman" w:hAnsi="Times New Roman" w:cs="Times New Roman"/>
          <w:sz w:val="24"/>
          <w:szCs w:val="24"/>
        </w:rPr>
        <w:t>позволяет сделать вывод</w:t>
      </w:r>
      <w:r w:rsidR="00765FBB" w:rsidRPr="001306ED">
        <w:rPr>
          <w:rFonts w:ascii="Times New Roman" w:hAnsi="Times New Roman" w:cs="Times New Roman"/>
          <w:sz w:val="24"/>
          <w:szCs w:val="24"/>
        </w:rPr>
        <w:t>, что наиболее</w:t>
      </w:r>
      <w:r w:rsidRPr="001306ED">
        <w:rPr>
          <w:rFonts w:ascii="Times New Roman" w:hAnsi="Times New Roman" w:cs="Times New Roman"/>
          <w:sz w:val="24"/>
          <w:szCs w:val="24"/>
        </w:rPr>
        <w:t xml:space="preserve"> слабым звеном является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  <w:r w:rsidR="00001A4F">
        <w:rPr>
          <w:rFonts w:ascii="Times New Roman" w:hAnsi="Times New Roman" w:cs="Times New Roman"/>
          <w:sz w:val="24"/>
          <w:szCs w:val="24"/>
        </w:rPr>
        <w:t>,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</w:t>
      </w:r>
      <w:r w:rsidRPr="001306ED">
        <w:rPr>
          <w:rFonts w:ascii="Times New Roman" w:hAnsi="Times New Roman" w:cs="Times New Roman"/>
          <w:sz w:val="24"/>
          <w:szCs w:val="24"/>
        </w:rPr>
        <w:t>обусловленное</w:t>
      </w:r>
      <w:r w:rsidR="00765FBB" w:rsidRPr="001306ED">
        <w:rPr>
          <w:rFonts w:ascii="Times New Roman" w:hAnsi="Times New Roman" w:cs="Times New Roman"/>
          <w:sz w:val="24"/>
          <w:szCs w:val="24"/>
        </w:rPr>
        <w:t>, прежде всего, отсутствием</w:t>
      </w:r>
      <w:r w:rsidRPr="001306ED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специализированных инструментов, </w:t>
      </w:r>
      <w:r w:rsidRPr="001306ED">
        <w:rPr>
          <w:rFonts w:ascii="Times New Roman" w:hAnsi="Times New Roman" w:cs="Times New Roman"/>
          <w:sz w:val="24"/>
          <w:szCs w:val="24"/>
        </w:rPr>
        <w:t>обеспечивающих более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э</w:t>
      </w:r>
      <w:r w:rsidRPr="001306ED">
        <w:rPr>
          <w:rFonts w:ascii="Times New Roman" w:hAnsi="Times New Roman" w:cs="Times New Roman"/>
          <w:sz w:val="24"/>
          <w:szCs w:val="24"/>
        </w:rPr>
        <w:t>ффективно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е </w:t>
      </w:r>
      <w:r w:rsidRPr="001306ED">
        <w:rPr>
          <w:rFonts w:ascii="Times New Roman" w:hAnsi="Times New Roman" w:cs="Times New Roman"/>
          <w:sz w:val="24"/>
          <w:szCs w:val="24"/>
        </w:rPr>
        <w:t>управление</w:t>
      </w:r>
      <w:r w:rsidR="00765FBB" w:rsidRPr="001306ED">
        <w:rPr>
          <w:rFonts w:ascii="Times New Roman" w:hAnsi="Times New Roman" w:cs="Times New Roman"/>
          <w:sz w:val="24"/>
          <w:szCs w:val="24"/>
        </w:rPr>
        <w:t xml:space="preserve"> процессами.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Подтверждением данного вывода можно также считать тот факт, </w:t>
      </w:r>
      <w:r w:rsidRPr="002A13B2">
        <w:rPr>
          <w:rFonts w:ascii="Times New Roman" w:hAnsi="Times New Roman" w:cs="Times New Roman"/>
          <w:sz w:val="24"/>
          <w:szCs w:val="24"/>
        </w:rPr>
        <w:t>что</w:t>
      </w:r>
      <w:r w:rsidR="00765FBB" w:rsidRPr="002A13B2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2A13B2" w:rsidRPr="002A13B2">
        <w:rPr>
          <w:rFonts w:ascii="Times New Roman" w:hAnsi="Times New Roman" w:cs="Times New Roman"/>
          <w:sz w:val="24"/>
          <w:szCs w:val="24"/>
        </w:rPr>
        <w:t>в интересах разработки и последующего утверждения учебных планов по направлениям подготовки, реализуемым Университетом, применяется информационная система «Планы».</w:t>
      </w:r>
    </w:p>
    <w:p w:rsidR="002A13B2" w:rsidRDefault="00717CE1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В качестве возможного направления решения выявленной проблемы предлагается применение в образовательном процессе разрабатываемой проблемно-ориентированной интеллектуальной системы управления и поддержки принятия решений. </w:t>
      </w:r>
      <w:r w:rsidR="00E553D7" w:rsidRPr="00B47CD5">
        <w:rPr>
          <w:rFonts w:ascii="Times New Roman" w:hAnsi="Times New Roman" w:cs="Times New Roman"/>
          <w:sz w:val="24"/>
          <w:szCs w:val="24"/>
        </w:rPr>
        <w:t xml:space="preserve">Данный подход к решению указанной проблемы обусловлен тем, что интеллектуальные системы способны не только оказывать поддержку в принятии решений, но и прогнозировать на основе заложенных и накопленных в процессе эксплуатации знаний факторы, позволяющие повысить эффективность деятельности до требуемого уровня [5]. </w:t>
      </w:r>
      <w:r w:rsidR="002A13B2">
        <w:rPr>
          <w:rFonts w:ascii="Times New Roman" w:hAnsi="Times New Roman" w:cs="Times New Roman"/>
          <w:sz w:val="24"/>
          <w:szCs w:val="24"/>
        </w:rPr>
        <w:t>Помощь ППС Университета в части составления и разработки необходимого комплекта методического обеспечения образовательного процесса в соответствии с существующими требованиями законодательства – ключевая цель, на которую ориентировано предлагаемое решение.</w:t>
      </w:r>
    </w:p>
    <w:p w:rsidR="00C34378" w:rsidRDefault="00857326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Практической реализацией предложенных мер целесообразно считать</w:t>
      </w:r>
      <w:r w:rsidR="00B16590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Pr="00B47CD5">
        <w:rPr>
          <w:rFonts w:ascii="Times New Roman" w:hAnsi="Times New Roman" w:cs="Times New Roman"/>
          <w:sz w:val="24"/>
          <w:szCs w:val="24"/>
        </w:rPr>
        <w:t>разрабатываемую проблемно-ориентированную интеллектуальную</w:t>
      </w:r>
      <w:r w:rsidR="00B16590" w:rsidRPr="00B47CD5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B47CD5">
        <w:rPr>
          <w:rFonts w:ascii="Times New Roman" w:hAnsi="Times New Roman" w:cs="Times New Roman"/>
          <w:sz w:val="24"/>
          <w:szCs w:val="24"/>
        </w:rPr>
        <w:t>у</w:t>
      </w:r>
      <w:r w:rsidR="00B16590" w:rsidRPr="00B47CD5">
        <w:rPr>
          <w:rFonts w:ascii="Times New Roman" w:hAnsi="Times New Roman" w:cs="Times New Roman"/>
          <w:sz w:val="24"/>
          <w:szCs w:val="24"/>
        </w:rPr>
        <w:t xml:space="preserve"> управления и поддержки принятия решений</w:t>
      </w:r>
      <w:r w:rsidRPr="00B47CD5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</w:t>
      </w:r>
      <w:r w:rsidR="00B16590" w:rsidRPr="00B47CD5">
        <w:rPr>
          <w:rFonts w:ascii="Times New Roman" w:hAnsi="Times New Roman" w:cs="Times New Roman"/>
          <w:sz w:val="24"/>
          <w:szCs w:val="24"/>
        </w:rPr>
        <w:t xml:space="preserve">. </w:t>
      </w:r>
      <w:r w:rsidR="00F16C6A" w:rsidRPr="002A13B2">
        <w:rPr>
          <w:rFonts w:ascii="Times New Roman" w:hAnsi="Times New Roman" w:cs="Times New Roman"/>
          <w:sz w:val="24"/>
          <w:szCs w:val="24"/>
        </w:rPr>
        <w:t>На данном</w:t>
      </w:r>
      <w:r w:rsidR="00B16590" w:rsidRPr="002A13B2">
        <w:rPr>
          <w:rFonts w:ascii="Times New Roman" w:hAnsi="Times New Roman" w:cs="Times New Roman"/>
          <w:sz w:val="24"/>
          <w:szCs w:val="24"/>
        </w:rPr>
        <w:t xml:space="preserve"> </w:t>
      </w:r>
      <w:r w:rsidR="00F16C6A" w:rsidRPr="002A13B2">
        <w:rPr>
          <w:rFonts w:ascii="Times New Roman" w:hAnsi="Times New Roman" w:cs="Times New Roman"/>
          <w:sz w:val="24"/>
          <w:szCs w:val="24"/>
        </w:rPr>
        <w:t>этапе</w:t>
      </w:r>
      <w:r w:rsidR="00B16590" w:rsidRPr="002A13B2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F16C6A" w:rsidRPr="002A13B2">
        <w:rPr>
          <w:rFonts w:ascii="Times New Roman" w:hAnsi="Times New Roman" w:cs="Times New Roman"/>
          <w:sz w:val="24"/>
          <w:szCs w:val="24"/>
        </w:rPr>
        <w:t>предлагаемой</w:t>
      </w:r>
      <w:r w:rsidR="00B16590" w:rsidRPr="002A13B2">
        <w:rPr>
          <w:rFonts w:ascii="Times New Roman" w:hAnsi="Times New Roman" w:cs="Times New Roman"/>
          <w:sz w:val="24"/>
          <w:szCs w:val="24"/>
        </w:rPr>
        <w:t xml:space="preserve"> системы уже имеются модули, </w:t>
      </w:r>
      <w:r w:rsidR="00F16C6A" w:rsidRPr="002A13B2">
        <w:rPr>
          <w:rFonts w:ascii="Times New Roman" w:hAnsi="Times New Roman" w:cs="Times New Roman"/>
          <w:sz w:val="24"/>
          <w:szCs w:val="24"/>
        </w:rPr>
        <w:t>отвечающие за формирование титульных</w:t>
      </w:r>
      <w:r w:rsidR="00B16590" w:rsidRPr="002A13B2">
        <w:rPr>
          <w:rFonts w:ascii="Times New Roman" w:hAnsi="Times New Roman" w:cs="Times New Roman"/>
          <w:sz w:val="24"/>
          <w:szCs w:val="24"/>
        </w:rPr>
        <w:t xml:space="preserve"> лист</w:t>
      </w:r>
      <w:r w:rsidR="00F16C6A" w:rsidRPr="002A13B2">
        <w:rPr>
          <w:rFonts w:ascii="Times New Roman" w:hAnsi="Times New Roman" w:cs="Times New Roman"/>
          <w:sz w:val="24"/>
          <w:szCs w:val="24"/>
        </w:rPr>
        <w:t>ов</w:t>
      </w:r>
      <w:r w:rsidR="00B16590" w:rsidRPr="002A13B2">
        <w:rPr>
          <w:rFonts w:ascii="Times New Roman" w:hAnsi="Times New Roman" w:cs="Times New Roman"/>
          <w:sz w:val="24"/>
          <w:szCs w:val="24"/>
        </w:rPr>
        <w:t xml:space="preserve"> рабочих программ (рис. </w:t>
      </w:r>
      <w:r w:rsidR="00C34378" w:rsidRPr="002A13B2">
        <w:rPr>
          <w:rFonts w:ascii="Times New Roman" w:hAnsi="Times New Roman" w:cs="Times New Roman"/>
          <w:sz w:val="24"/>
          <w:szCs w:val="24"/>
        </w:rPr>
        <w:t>5</w:t>
      </w:r>
      <w:r w:rsidR="00B16590" w:rsidRPr="002A13B2">
        <w:rPr>
          <w:rFonts w:ascii="Times New Roman" w:hAnsi="Times New Roman" w:cs="Times New Roman"/>
          <w:sz w:val="24"/>
          <w:szCs w:val="24"/>
        </w:rPr>
        <w:t>)</w:t>
      </w:r>
      <w:r w:rsidR="00F16C6A" w:rsidRPr="002A13B2">
        <w:rPr>
          <w:rFonts w:ascii="Times New Roman" w:hAnsi="Times New Roman" w:cs="Times New Roman"/>
          <w:sz w:val="24"/>
          <w:szCs w:val="24"/>
        </w:rPr>
        <w:t>, а также</w:t>
      </w:r>
      <w:r w:rsidR="00B83301">
        <w:rPr>
          <w:rFonts w:ascii="Times New Roman" w:hAnsi="Times New Roman" w:cs="Times New Roman"/>
          <w:sz w:val="24"/>
          <w:szCs w:val="24"/>
        </w:rPr>
        <w:t xml:space="preserve"> за формирование аннотированной</w:t>
      </w:r>
      <w:r w:rsidR="00B83301" w:rsidRPr="00B47CD5">
        <w:rPr>
          <w:rFonts w:ascii="Times New Roman" w:hAnsi="Times New Roman" w:cs="Times New Roman"/>
          <w:sz w:val="24"/>
          <w:szCs w:val="24"/>
        </w:rPr>
        <w:t xml:space="preserve"> част</w:t>
      </w:r>
      <w:r w:rsidR="00B83301">
        <w:rPr>
          <w:rFonts w:ascii="Times New Roman" w:hAnsi="Times New Roman" w:cs="Times New Roman"/>
          <w:sz w:val="24"/>
          <w:szCs w:val="24"/>
        </w:rPr>
        <w:t>и</w:t>
      </w:r>
      <w:r w:rsidR="00B83301" w:rsidRPr="00B47CD5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(рис. 6).</w:t>
      </w:r>
    </w:p>
    <w:p w:rsidR="00B83301" w:rsidRPr="00B47CD5" w:rsidRDefault="00B83301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378" w:rsidRPr="00B47CD5" w:rsidRDefault="00C34378" w:rsidP="00C343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12A42" wp14:editId="1CDEF135">
            <wp:extent cx="4381500" cy="3130910"/>
            <wp:effectExtent l="0" t="0" r="0" b="0"/>
            <wp:docPr id="1" name="Рисунок 1" descr="D:\Мои программы\ФТА\Аспирантура\Статья 05.10.2019\автотит-ит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программы\ФТА\Аспирантура\Статья 05.10.2019\автотит-итог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78" w:rsidRPr="00B47CD5" w:rsidRDefault="00C34378" w:rsidP="00801D91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 xml:space="preserve">Рисунок 5 – </w:t>
      </w:r>
      <w:r w:rsidR="00801D91">
        <w:rPr>
          <w:rFonts w:ascii="Times New Roman" w:hAnsi="Times New Roman" w:cs="Times New Roman"/>
          <w:b/>
          <w:sz w:val="24"/>
          <w:szCs w:val="24"/>
        </w:rPr>
        <w:t>Форма окна для формирования титульного листа</w:t>
      </w:r>
    </w:p>
    <w:p w:rsidR="00473EC4" w:rsidRPr="00B47CD5" w:rsidRDefault="00473EC4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EC4" w:rsidRPr="00B47CD5" w:rsidRDefault="00F5200B" w:rsidP="006C2F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D83FD1" wp14:editId="16150C4C">
            <wp:extent cx="4709795" cy="2406650"/>
            <wp:effectExtent l="0" t="0" r="0" b="0"/>
            <wp:docPr id="7" name="Рисунок 7" descr="D:\Мои программы\ФТА\Аспирантура\Статья 05.10.2019\автоанн-ит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программы\ФТА\Аспирантура\Статья 05.10.2019\автоанн-итог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C4" w:rsidRPr="00B47CD5" w:rsidRDefault="00473EC4" w:rsidP="006C2F1D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C34378" w:rsidRPr="00B47CD5">
        <w:rPr>
          <w:rFonts w:ascii="Times New Roman" w:hAnsi="Times New Roman" w:cs="Times New Roman"/>
          <w:b/>
          <w:sz w:val="24"/>
          <w:szCs w:val="24"/>
        </w:rPr>
        <w:t>6</w:t>
      </w:r>
      <w:r w:rsidRPr="00B47C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1D91">
        <w:rPr>
          <w:rFonts w:ascii="Times New Roman" w:hAnsi="Times New Roman" w:cs="Times New Roman"/>
          <w:b/>
          <w:sz w:val="24"/>
          <w:szCs w:val="24"/>
        </w:rPr>
        <w:t>Форма окна для формирования аннотированной части</w:t>
      </w:r>
    </w:p>
    <w:p w:rsidR="004D7722" w:rsidRPr="00B47CD5" w:rsidRDefault="002A13B2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3B2">
        <w:rPr>
          <w:rFonts w:ascii="Times New Roman" w:hAnsi="Times New Roman" w:cs="Times New Roman"/>
          <w:sz w:val="24"/>
          <w:szCs w:val="24"/>
        </w:rPr>
        <w:t>Разрабатываемая</w:t>
      </w:r>
      <w:r w:rsidR="00762B22" w:rsidRPr="002A13B2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2A13B2">
        <w:rPr>
          <w:rFonts w:ascii="Times New Roman" w:hAnsi="Times New Roman" w:cs="Times New Roman"/>
          <w:sz w:val="24"/>
          <w:szCs w:val="24"/>
        </w:rPr>
        <w:t xml:space="preserve"> способна</w:t>
      </w:r>
      <w:r w:rsidR="00762B22" w:rsidRPr="002A13B2">
        <w:rPr>
          <w:rFonts w:ascii="Times New Roman" w:hAnsi="Times New Roman" w:cs="Times New Roman"/>
          <w:sz w:val="24"/>
          <w:szCs w:val="24"/>
        </w:rPr>
        <w:t xml:space="preserve"> </w:t>
      </w:r>
      <w:r w:rsidRPr="002A13B2">
        <w:rPr>
          <w:rFonts w:ascii="Times New Roman" w:hAnsi="Times New Roman" w:cs="Times New Roman"/>
          <w:sz w:val="24"/>
          <w:szCs w:val="24"/>
        </w:rPr>
        <w:t>оказыват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A13B2">
        <w:rPr>
          <w:rFonts w:ascii="Times New Roman" w:hAnsi="Times New Roman" w:cs="Times New Roman"/>
          <w:sz w:val="24"/>
          <w:szCs w:val="24"/>
        </w:rPr>
        <w:t xml:space="preserve"> помощь ППС в части </w:t>
      </w:r>
      <w:r w:rsidR="00762B22" w:rsidRPr="002A13B2">
        <w:rPr>
          <w:rFonts w:ascii="Times New Roman" w:hAnsi="Times New Roman" w:cs="Times New Roman"/>
          <w:sz w:val="24"/>
          <w:szCs w:val="24"/>
        </w:rPr>
        <w:t>корректно</w:t>
      </w:r>
      <w:r w:rsidRPr="002A13B2">
        <w:rPr>
          <w:rFonts w:ascii="Times New Roman" w:hAnsi="Times New Roman" w:cs="Times New Roman"/>
          <w:sz w:val="24"/>
          <w:szCs w:val="24"/>
        </w:rPr>
        <w:t>го заполнения основных</w:t>
      </w:r>
      <w:r w:rsidR="00762B22" w:rsidRPr="002A13B2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2A13B2">
        <w:rPr>
          <w:rFonts w:ascii="Times New Roman" w:hAnsi="Times New Roman" w:cs="Times New Roman"/>
          <w:sz w:val="24"/>
          <w:szCs w:val="24"/>
        </w:rPr>
        <w:t>ов</w:t>
      </w:r>
      <w:r w:rsidR="00762B22" w:rsidRPr="002A13B2">
        <w:rPr>
          <w:rFonts w:ascii="Times New Roman" w:hAnsi="Times New Roman" w:cs="Times New Roman"/>
          <w:sz w:val="24"/>
          <w:szCs w:val="24"/>
        </w:rPr>
        <w:t xml:space="preserve"> образовательных и рабочих программ (титульные листы, почасовая нагрузка, компетенции, формы контроля и так далее).</w:t>
      </w:r>
      <w:r w:rsidR="00BA3145" w:rsidRPr="002A13B2">
        <w:rPr>
          <w:rFonts w:ascii="Times New Roman" w:hAnsi="Times New Roman" w:cs="Times New Roman"/>
          <w:sz w:val="24"/>
          <w:szCs w:val="24"/>
        </w:rPr>
        <w:t xml:space="preserve"> </w:t>
      </w:r>
      <w:r w:rsidR="00EE7E65" w:rsidRPr="002A13B2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C34378" w:rsidRPr="002A13B2">
        <w:rPr>
          <w:rFonts w:ascii="Times New Roman" w:hAnsi="Times New Roman" w:cs="Times New Roman"/>
          <w:sz w:val="24"/>
          <w:szCs w:val="24"/>
        </w:rPr>
        <w:t xml:space="preserve">как </w:t>
      </w:r>
      <w:r w:rsidR="00EE7E65" w:rsidRPr="002A13B2">
        <w:rPr>
          <w:rFonts w:ascii="Times New Roman" w:hAnsi="Times New Roman" w:cs="Times New Roman"/>
          <w:sz w:val="24"/>
          <w:szCs w:val="24"/>
        </w:rPr>
        <w:t>с модулем формирования титульных листов</w:t>
      </w:r>
      <w:r w:rsidR="00C34378" w:rsidRPr="002A13B2">
        <w:rPr>
          <w:rFonts w:ascii="Times New Roman" w:hAnsi="Times New Roman" w:cs="Times New Roman"/>
          <w:sz w:val="24"/>
          <w:szCs w:val="24"/>
        </w:rPr>
        <w:t xml:space="preserve"> рабочих программ, так</w:t>
      </w:r>
      <w:r w:rsidR="00C34378" w:rsidRPr="00B47CD5">
        <w:rPr>
          <w:rFonts w:ascii="Times New Roman" w:hAnsi="Times New Roman" w:cs="Times New Roman"/>
          <w:sz w:val="24"/>
          <w:szCs w:val="24"/>
        </w:rPr>
        <w:t xml:space="preserve"> и с модулем формирования аннотированной профессиональной образовательной программы</w:t>
      </w:r>
      <w:r w:rsidR="0026533A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EE7E65" w:rsidRPr="00B47CD5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670223">
        <w:rPr>
          <w:rFonts w:ascii="Times New Roman" w:hAnsi="Times New Roman" w:cs="Times New Roman"/>
          <w:sz w:val="24"/>
          <w:szCs w:val="24"/>
        </w:rPr>
        <w:t>потребуется подгрузить только учебный план.</w:t>
      </w:r>
      <w:r w:rsidR="00C34378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4D7722" w:rsidRPr="00B47CD5">
        <w:rPr>
          <w:rFonts w:ascii="Times New Roman" w:hAnsi="Times New Roman" w:cs="Times New Roman"/>
          <w:sz w:val="24"/>
          <w:szCs w:val="24"/>
        </w:rPr>
        <w:t>К достоинствам разрабатываемой системы целесообразно отнести</w:t>
      </w:r>
      <w:r w:rsidR="00FC01A9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157205">
        <w:rPr>
          <w:rFonts w:ascii="Times New Roman" w:hAnsi="Times New Roman" w:cs="Times New Roman"/>
          <w:sz w:val="24"/>
          <w:szCs w:val="24"/>
        </w:rPr>
        <w:t>снижение трудозатрат и вероятности ошибок, а также</w:t>
      </w:r>
      <w:r w:rsidR="00EA10FA" w:rsidRPr="00B47CD5">
        <w:rPr>
          <w:rFonts w:ascii="Times New Roman" w:hAnsi="Times New Roman" w:cs="Times New Roman"/>
          <w:sz w:val="24"/>
          <w:szCs w:val="24"/>
        </w:rPr>
        <w:t xml:space="preserve"> повышение качества </w:t>
      </w:r>
      <w:r w:rsidR="00157205">
        <w:rPr>
          <w:rFonts w:ascii="Times New Roman" w:hAnsi="Times New Roman" w:cs="Times New Roman"/>
          <w:sz w:val="24"/>
          <w:szCs w:val="24"/>
        </w:rPr>
        <w:t xml:space="preserve">формируемого </w:t>
      </w:r>
      <w:r w:rsidR="00EA10FA" w:rsidRPr="00B47CD5"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="005325EE" w:rsidRPr="00B47CD5">
        <w:rPr>
          <w:rFonts w:ascii="Times New Roman" w:hAnsi="Times New Roman" w:cs="Times New Roman"/>
          <w:sz w:val="24"/>
          <w:szCs w:val="24"/>
        </w:rPr>
        <w:t>[6</w:t>
      </w:r>
      <w:r w:rsidR="00C34378" w:rsidRPr="00B47CD5">
        <w:rPr>
          <w:rFonts w:ascii="Times New Roman" w:hAnsi="Times New Roman" w:cs="Times New Roman"/>
          <w:sz w:val="24"/>
          <w:szCs w:val="24"/>
        </w:rPr>
        <w:t>]</w:t>
      </w:r>
      <w:r w:rsidR="00EA10FA" w:rsidRPr="00B47CD5">
        <w:rPr>
          <w:rFonts w:ascii="Times New Roman" w:hAnsi="Times New Roman" w:cs="Times New Roman"/>
          <w:sz w:val="24"/>
          <w:szCs w:val="24"/>
        </w:rPr>
        <w:t>.</w:t>
      </w:r>
    </w:p>
    <w:p w:rsidR="00FC01A9" w:rsidRPr="00B47CD5" w:rsidRDefault="00BE7BC7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83301" w:rsidRPr="00B47CD5">
        <w:rPr>
          <w:rFonts w:ascii="Times New Roman" w:hAnsi="Times New Roman" w:cs="Times New Roman"/>
          <w:sz w:val="24"/>
          <w:szCs w:val="24"/>
        </w:rPr>
        <w:t xml:space="preserve">в современных изменяющихся условиях </w:t>
      </w:r>
      <w:r w:rsidRPr="00B47CD5">
        <w:rPr>
          <w:rFonts w:ascii="Times New Roman" w:hAnsi="Times New Roman" w:cs="Times New Roman"/>
          <w:sz w:val="24"/>
          <w:szCs w:val="24"/>
        </w:rPr>
        <w:t xml:space="preserve">интеллектуализация как основа повышения эффективности деятельности образовательной организации сферы науки и высшего образования представляется одним из перспективных направлений развития. По результатам системного анализа функционирования Университета были сформулированы </w:t>
      </w:r>
      <w:r w:rsidR="00B83301">
        <w:rPr>
          <w:rFonts w:ascii="Times New Roman" w:hAnsi="Times New Roman" w:cs="Times New Roman"/>
          <w:sz w:val="24"/>
          <w:szCs w:val="24"/>
        </w:rPr>
        <w:t>оптимальные</w:t>
      </w:r>
      <w:r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="00B83301">
        <w:rPr>
          <w:rFonts w:ascii="Times New Roman" w:hAnsi="Times New Roman" w:cs="Times New Roman"/>
          <w:sz w:val="24"/>
          <w:szCs w:val="24"/>
        </w:rPr>
        <w:t>рекомендации</w:t>
      </w:r>
      <w:r w:rsidRPr="00B47CD5">
        <w:rPr>
          <w:rFonts w:ascii="Times New Roman" w:hAnsi="Times New Roman" w:cs="Times New Roman"/>
          <w:sz w:val="24"/>
          <w:szCs w:val="24"/>
        </w:rPr>
        <w:t xml:space="preserve"> по повышению эффективности управления образовательной организацией, а также предложены прикладные программно-аппаратные средства их реализации, в основе которых</w:t>
      </w:r>
      <w:r w:rsidR="00B83301">
        <w:rPr>
          <w:rFonts w:ascii="Times New Roman" w:hAnsi="Times New Roman" w:cs="Times New Roman"/>
          <w:sz w:val="24"/>
          <w:szCs w:val="24"/>
        </w:rPr>
        <w:t xml:space="preserve"> лежит</w:t>
      </w:r>
      <w:r w:rsidRPr="00B47CD5">
        <w:rPr>
          <w:rFonts w:ascii="Times New Roman" w:hAnsi="Times New Roman" w:cs="Times New Roman"/>
          <w:sz w:val="24"/>
          <w:szCs w:val="24"/>
        </w:rPr>
        <w:t xml:space="preserve"> создание проблемно-ориентированной интеллектуальной системы управления и поддержки принятия решений. </w:t>
      </w:r>
      <w:r w:rsidR="006E2BA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6E2BAD" w:rsidRPr="00B47CD5">
        <w:rPr>
          <w:rFonts w:ascii="Times New Roman" w:hAnsi="Times New Roman" w:cs="Times New Roman"/>
          <w:sz w:val="24"/>
          <w:szCs w:val="24"/>
        </w:rPr>
        <w:t>дальнейших</w:t>
      </w:r>
      <w:r w:rsidRPr="00B47CD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B83301">
        <w:rPr>
          <w:rFonts w:ascii="Times New Roman" w:hAnsi="Times New Roman" w:cs="Times New Roman"/>
          <w:sz w:val="24"/>
          <w:szCs w:val="24"/>
        </w:rPr>
        <w:t>й являются усовершенствованные версии</w:t>
      </w:r>
      <w:r w:rsidR="00FC01A9" w:rsidRPr="00B47CD5">
        <w:rPr>
          <w:rFonts w:ascii="Times New Roman" w:hAnsi="Times New Roman" w:cs="Times New Roman"/>
          <w:sz w:val="24"/>
          <w:szCs w:val="24"/>
        </w:rPr>
        <w:t xml:space="preserve"> разрабатываемой интеллектуальной системы для образовательных организаций</w:t>
      </w:r>
      <w:r w:rsidR="00B83301">
        <w:rPr>
          <w:rFonts w:ascii="Times New Roman" w:hAnsi="Times New Roman" w:cs="Times New Roman"/>
          <w:sz w:val="24"/>
          <w:szCs w:val="24"/>
        </w:rPr>
        <w:t>, включающие</w:t>
      </w:r>
      <w:r w:rsidR="00FC01A9" w:rsidRPr="00B47CD5">
        <w:rPr>
          <w:rFonts w:ascii="Times New Roman" w:hAnsi="Times New Roman" w:cs="Times New Roman"/>
          <w:sz w:val="24"/>
          <w:szCs w:val="24"/>
        </w:rPr>
        <w:t xml:space="preserve"> </w:t>
      </w:r>
      <w:r w:rsidRPr="00B47CD5">
        <w:rPr>
          <w:rFonts w:ascii="Times New Roman" w:hAnsi="Times New Roman" w:cs="Times New Roman"/>
          <w:sz w:val="24"/>
          <w:szCs w:val="24"/>
        </w:rPr>
        <w:t>дополнительны</w:t>
      </w:r>
      <w:r w:rsidR="006E2BAD">
        <w:rPr>
          <w:rFonts w:ascii="Times New Roman" w:hAnsi="Times New Roman" w:cs="Times New Roman"/>
          <w:sz w:val="24"/>
          <w:szCs w:val="24"/>
        </w:rPr>
        <w:t>е</w:t>
      </w:r>
      <w:r w:rsidR="00FC01A9" w:rsidRPr="00B47CD5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6E2BAD">
        <w:rPr>
          <w:rFonts w:ascii="Times New Roman" w:hAnsi="Times New Roman" w:cs="Times New Roman"/>
          <w:sz w:val="24"/>
          <w:szCs w:val="24"/>
        </w:rPr>
        <w:t>и</w:t>
      </w:r>
      <w:r w:rsidRPr="00B47CD5">
        <w:rPr>
          <w:rFonts w:ascii="Times New Roman" w:hAnsi="Times New Roman" w:cs="Times New Roman"/>
          <w:sz w:val="24"/>
          <w:szCs w:val="24"/>
        </w:rPr>
        <w:t xml:space="preserve">, </w:t>
      </w:r>
      <w:r w:rsidR="00124E67">
        <w:rPr>
          <w:rFonts w:ascii="Times New Roman" w:hAnsi="Times New Roman" w:cs="Times New Roman"/>
          <w:sz w:val="24"/>
          <w:szCs w:val="24"/>
        </w:rPr>
        <w:t>отвечающи</w:t>
      </w:r>
      <w:r w:rsidR="006E2BAD">
        <w:rPr>
          <w:rFonts w:ascii="Times New Roman" w:hAnsi="Times New Roman" w:cs="Times New Roman"/>
          <w:sz w:val="24"/>
          <w:szCs w:val="24"/>
        </w:rPr>
        <w:t>е, в частности,</w:t>
      </w:r>
      <w:r w:rsidR="00124E67">
        <w:rPr>
          <w:rFonts w:ascii="Times New Roman" w:hAnsi="Times New Roman" w:cs="Times New Roman"/>
          <w:sz w:val="24"/>
          <w:szCs w:val="24"/>
        </w:rPr>
        <w:t xml:space="preserve"> за проверку </w:t>
      </w:r>
      <w:r w:rsidR="00FC01A9" w:rsidRPr="00B47CD5">
        <w:rPr>
          <w:rFonts w:ascii="Times New Roman" w:hAnsi="Times New Roman" w:cs="Times New Roman"/>
          <w:sz w:val="24"/>
          <w:szCs w:val="24"/>
        </w:rPr>
        <w:t>правильности формировани</w:t>
      </w:r>
      <w:r w:rsidR="00124E67">
        <w:rPr>
          <w:rFonts w:ascii="Times New Roman" w:hAnsi="Times New Roman" w:cs="Times New Roman"/>
          <w:sz w:val="24"/>
          <w:szCs w:val="24"/>
        </w:rPr>
        <w:t>я полного комплекта методических документов</w:t>
      </w:r>
      <w:r w:rsidR="00FC01A9" w:rsidRPr="00B47CD5">
        <w:rPr>
          <w:rFonts w:ascii="Times New Roman" w:hAnsi="Times New Roman" w:cs="Times New Roman"/>
          <w:sz w:val="24"/>
          <w:szCs w:val="24"/>
        </w:rPr>
        <w:t>.</w:t>
      </w:r>
      <w:r w:rsidR="00B83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3BC" w:rsidRPr="00B47CD5" w:rsidRDefault="009033BC" w:rsidP="006C2F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5D2" w:rsidRPr="00B47CD5" w:rsidRDefault="003755D2" w:rsidP="006C2F1D">
      <w:pPr>
        <w:pStyle w:val="a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05A8" w:rsidRPr="00B47CD5" w:rsidRDefault="003755D2" w:rsidP="006C2F1D">
      <w:pPr>
        <w:pStyle w:val="a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CD5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3755D2" w:rsidRPr="00B47CD5" w:rsidRDefault="003755D2" w:rsidP="006C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A4" w:rsidRPr="00B47CD5" w:rsidRDefault="00BB10A4" w:rsidP="006C2F1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0B6852" w:rsidRPr="00B47CD5" w:rsidRDefault="000B6852" w:rsidP="006C2F1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Вдовин В.М., Суркова Л.Е., Валентинов В.А. Теория систем и системный анализ. – М.: Дашков и К. 2016.</w:t>
      </w:r>
    </w:p>
    <w:p w:rsidR="0081744F" w:rsidRPr="00B47CD5" w:rsidRDefault="0081744F" w:rsidP="006C2F1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Корнев Г.Н., Яковлев В.Б. Системный анализ. – М.: ИЦ РИОР, НИЦ ИНФРА-М. 2016.</w:t>
      </w:r>
    </w:p>
    <w:p w:rsidR="003C4F50" w:rsidRPr="00B47CD5" w:rsidRDefault="003C4F50" w:rsidP="006C2F1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Салманова И.П., Кузнецова О.И., Кручинина С.А., Булат А.С. Построение экспертной системы оценки экономической эффективности инвестиций в информационную безопасность. //Журнал «Вопросы региональной экономики» №4(37). 2018.</w:t>
      </w:r>
      <w:r w:rsidR="00E173FC" w:rsidRPr="00B47CD5">
        <w:rPr>
          <w:rFonts w:ascii="Times New Roman" w:hAnsi="Times New Roman" w:cs="Times New Roman"/>
          <w:sz w:val="24"/>
          <w:szCs w:val="24"/>
        </w:rPr>
        <w:t xml:space="preserve"> – С. 102-109.</w:t>
      </w:r>
    </w:p>
    <w:p w:rsidR="003C4F50" w:rsidRPr="00B47CD5" w:rsidRDefault="00206958" w:rsidP="00765FB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D5">
        <w:rPr>
          <w:rFonts w:ascii="Times New Roman" w:hAnsi="Times New Roman" w:cs="Times New Roman"/>
          <w:sz w:val="24"/>
          <w:szCs w:val="24"/>
        </w:rPr>
        <w:t>Сухотерин</w:t>
      </w:r>
      <w:proofErr w:type="spellEnd"/>
      <w:r w:rsidRPr="00B47CD5">
        <w:rPr>
          <w:rFonts w:ascii="Times New Roman" w:hAnsi="Times New Roman" w:cs="Times New Roman"/>
          <w:sz w:val="24"/>
          <w:szCs w:val="24"/>
        </w:rPr>
        <w:t xml:space="preserve"> А.И., Ерёмина Е.В., Кручинина С.А. Современные тенденции развития искусственного интеллекта: накопленный опыт, проблемные вопросы и </w:t>
      </w:r>
      <w:r w:rsidRPr="00B47CD5">
        <w:rPr>
          <w:rFonts w:ascii="Times New Roman" w:hAnsi="Times New Roman" w:cs="Times New Roman"/>
          <w:sz w:val="24"/>
          <w:szCs w:val="24"/>
        </w:rPr>
        <w:lastRenderedPageBreak/>
        <w:t>перспективы. //Журнал «Информационно-технологический вестник» №4(18). 2018.</w:t>
      </w:r>
      <w:r w:rsidR="00E173FC" w:rsidRPr="00B47CD5">
        <w:rPr>
          <w:rFonts w:ascii="Times New Roman" w:hAnsi="Times New Roman" w:cs="Times New Roman"/>
          <w:sz w:val="24"/>
          <w:szCs w:val="24"/>
        </w:rPr>
        <w:t xml:space="preserve"> – С. 117-124.</w:t>
      </w:r>
    </w:p>
    <w:p w:rsidR="005325EE" w:rsidRPr="00B47CD5" w:rsidRDefault="005325EE" w:rsidP="00765FB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Кручинина С.А., Ерёмина Е.В. Разработка проблемно-ориентированной интеллектуальной системы управления и поддержки принятия решений для образовательных организаций //Журнал «Информационно-технологический вестник» №4(22). 2019.</w:t>
      </w:r>
      <w:r w:rsidR="00E173FC" w:rsidRPr="00B47CD5">
        <w:rPr>
          <w:rFonts w:ascii="Times New Roman" w:hAnsi="Times New Roman" w:cs="Times New Roman"/>
          <w:sz w:val="24"/>
          <w:szCs w:val="24"/>
        </w:rPr>
        <w:t xml:space="preserve"> – С. 83-90.</w:t>
      </w:r>
    </w:p>
    <w:p w:rsidR="00765FBB" w:rsidRPr="00B47CD5" w:rsidRDefault="00765FBB" w:rsidP="00765FB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D5">
        <w:rPr>
          <w:rFonts w:ascii="Times New Roman" w:hAnsi="Times New Roman" w:cs="Times New Roman"/>
          <w:sz w:val="24"/>
          <w:szCs w:val="24"/>
        </w:rPr>
        <w:t>Домарев</w:t>
      </w:r>
      <w:proofErr w:type="spellEnd"/>
      <w:r w:rsidRPr="00B47CD5">
        <w:rPr>
          <w:rFonts w:ascii="Times New Roman" w:hAnsi="Times New Roman" w:cs="Times New Roman"/>
          <w:sz w:val="24"/>
          <w:szCs w:val="24"/>
        </w:rPr>
        <w:t xml:space="preserve"> В.В. Безопасность информационных технологий. Системный подход. – К.: ТИД Диа Софт, 2004</w:t>
      </w:r>
      <w:r w:rsidR="00E173FC" w:rsidRPr="00B47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405" w:rsidRPr="00B47CD5" w:rsidRDefault="00294405" w:rsidP="00A8724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 Московской области «Технологический университет». [Электронный ресурс]. Режим доступа: https://unitech-mo.ru/ (дата обращения 0</w:t>
      </w:r>
      <w:r w:rsidR="006C2F1D" w:rsidRPr="00B47CD5">
        <w:rPr>
          <w:rFonts w:ascii="Times New Roman" w:hAnsi="Times New Roman" w:cs="Times New Roman"/>
          <w:sz w:val="24"/>
          <w:szCs w:val="24"/>
        </w:rPr>
        <w:t>1</w:t>
      </w:r>
      <w:r w:rsidRPr="00B47CD5">
        <w:rPr>
          <w:rFonts w:ascii="Times New Roman" w:hAnsi="Times New Roman" w:cs="Times New Roman"/>
          <w:sz w:val="24"/>
          <w:szCs w:val="24"/>
        </w:rPr>
        <w:t>.0</w:t>
      </w:r>
      <w:r w:rsidR="006C2F1D" w:rsidRPr="00B47CD5">
        <w:rPr>
          <w:rFonts w:ascii="Times New Roman" w:hAnsi="Times New Roman" w:cs="Times New Roman"/>
          <w:sz w:val="24"/>
          <w:szCs w:val="24"/>
        </w:rPr>
        <w:t>4.2020</w:t>
      </w:r>
      <w:r w:rsidRPr="00B47CD5">
        <w:rPr>
          <w:rFonts w:ascii="Times New Roman" w:hAnsi="Times New Roman" w:cs="Times New Roman"/>
          <w:sz w:val="24"/>
          <w:szCs w:val="24"/>
        </w:rPr>
        <w:t>).</w:t>
      </w:r>
    </w:p>
    <w:p w:rsidR="00EF3749" w:rsidRPr="00B47CD5" w:rsidRDefault="00EF3749" w:rsidP="00EF374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D5">
        <w:rPr>
          <w:rFonts w:ascii="Times New Roman" w:hAnsi="Times New Roman" w:cs="Times New Roman"/>
          <w:sz w:val="24"/>
          <w:szCs w:val="24"/>
        </w:rPr>
        <w:t>Компьютерная справочно-правовая система «Консультант Плюс». [Электронный ресурс]. Режим доступа: http://www.consultant.ru/ (дата обращения 01.04.2020).</w:t>
      </w:r>
    </w:p>
    <w:sectPr w:rsidR="00EF3749" w:rsidRPr="00B47CD5" w:rsidSect="006C2F1D">
      <w:pgSz w:w="11907" w:h="16839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02C"/>
    <w:multiLevelType w:val="hybridMultilevel"/>
    <w:tmpl w:val="3156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2B6F"/>
    <w:multiLevelType w:val="hybridMultilevel"/>
    <w:tmpl w:val="09CEA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315C6F"/>
    <w:multiLevelType w:val="hybridMultilevel"/>
    <w:tmpl w:val="C1D0CBE2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2290AC3"/>
    <w:multiLevelType w:val="hybridMultilevel"/>
    <w:tmpl w:val="3BDCDE36"/>
    <w:lvl w:ilvl="0" w:tplc="9D1E33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2F1"/>
    <w:multiLevelType w:val="hybridMultilevel"/>
    <w:tmpl w:val="21A2B2F0"/>
    <w:lvl w:ilvl="0" w:tplc="9D1E33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064F83"/>
    <w:multiLevelType w:val="hybridMultilevel"/>
    <w:tmpl w:val="502AB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133F7"/>
    <w:multiLevelType w:val="hybridMultilevel"/>
    <w:tmpl w:val="93F6F130"/>
    <w:lvl w:ilvl="0" w:tplc="5906BFA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C42346"/>
    <w:multiLevelType w:val="hybridMultilevel"/>
    <w:tmpl w:val="CBC85BF6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6B6006CB"/>
    <w:multiLevelType w:val="hybridMultilevel"/>
    <w:tmpl w:val="760E6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8321876">
    <w:abstractNumId w:val="3"/>
  </w:num>
  <w:num w:numId="2" w16cid:durableId="192303779">
    <w:abstractNumId w:val="4"/>
  </w:num>
  <w:num w:numId="3" w16cid:durableId="2012096808">
    <w:abstractNumId w:val="0"/>
  </w:num>
  <w:num w:numId="4" w16cid:durableId="1804813492">
    <w:abstractNumId w:val="6"/>
  </w:num>
  <w:num w:numId="5" w16cid:durableId="1435592268">
    <w:abstractNumId w:val="5"/>
  </w:num>
  <w:num w:numId="6" w16cid:durableId="1111318675">
    <w:abstractNumId w:val="8"/>
  </w:num>
  <w:num w:numId="7" w16cid:durableId="736320163">
    <w:abstractNumId w:val="1"/>
  </w:num>
  <w:num w:numId="8" w16cid:durableId="543324917">
    <w:abstractNumId w:val="7"/>
  </w:num>
  <w:num w:numId="9" w16cid:durableId="168947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DD"/>
    <w:rsid w:val="000017C0"/>
    <w:rsid w:val="00001A4F"/>
    <w:rsid w:val="00002781"/>
    <w:rsid w:val="0000689C"/>
    <w:rsid w:val="00015988"/>
    <w:rsid w:val="0001709F"/>
    <w:rsid w:val="000218E3"/>
    <w:rsid w:val="00025E94"/>
    <w:rsid w:val="00026740"/>
    <w:rsid w:val="00030EE2"/>
    <w:rsid w:val="00045B46"/>
    <w:rsid w:val="000515C1"/>
    <w:rsid w:val="000537C8"/>
    <w:rsid w:val="000563F5"/>
    <w:rsid w:val="00061B0A"/>
    <w:rsid w:val="000764F0"/>
    <w:rsid w:val="000808ED"/>
    <w:rsid w:val="000843F7"/>
    <w:rsid w:val="00087060"/>
    <w:rsid w:val="000B672F"/>
    <w:rsid w:val="000B6852"/>
    <w:rsid w:val="000D19CE"/>
    <w:rsid w:val="000E268D"/>
    <w:rsid w:val="00116957"/>
    <w:rsid w:val="00124E67"/>
    <w:rsid w:val="001306ED"/>
    <w:rsid w:val="00151671"/>
    <w:rsid w:val="00157205"/>
    <w:rsid w:val="00157D06"/>
    <w:rsid w:val="00160801"/>
    <w:rsid w:val="00162D58"/>
    <w:rsid w:val="00170638"/>
    <w:rsid w:val="00171923"/>
    <w:rsid w:val="00176260"/>
    <w:rsid w:val="001776DA"/>
    <w:rsid w:val="001B3ABA"/>
    <w:rsid w:val="001D5BC0"/>
    <w:rsid w:val="001D6E54"/>
    <w:rsid w:val="001E15D1"/>
    <w:rsid w:val="001E5F22"/>
    <w:rsid w:val="001F1125"/>
    <w:rsid w:val="001F1145"/>
    <w:rsid w:val="001F23C2"/>
    <w:rsid w:val="00202696"/>
    <w:rsid w:val="00204A02"/>
    <w:rsid w:val="00206958"/>
    <w:rsid w:val="00213541"/>
    <w:rsid w:val="00221FEF"/>
    <w:rsid w:val="00225B7A"/>
    <w:rsid w:val="0023738E"/>
    <w:rsid w:val="00245098"/>
    <w:rsid w:val="00245198"/>
    <w:rsid w:val="0026533A"/>
    <w:rsid w:val="00272B9C"/>
    <w:rsid w:val="00272D20"/>
    <w:rsid w:val="002877FD"/>
    <w:rsid w:val="00294405"/>
    <w:rsid w:val="00295A6C"/>
    <w:rsid w:val="002A13B2"/>
    <w:rsid w:val="002A1E10"/>
    <w:rsid w:val="002A6178"/>
    <w:rsid w:val="002B3747"/>
    <w:rsid w:val="002B5A14"/>
    <w:rsid w:val="002C15A2"/>
    <w:rsid w:val="002D4286"/>
    <w:rsid w:val="002D76C4"/>
    <w:rsid w:val="002D7A32"/>
    <w:rsid w:val="002E0D3D"/>
    <w:rsid w:val="002E34FD"/>
    <w:rsid w:val="002F2CF7"/>
    <w:rsid w:val="002F48F4"/>
    <w:rsid w:val="002F4AC4"/>
    <w:rsid w:val="002F4F3E"/>
    <w:rsid w:val="0030040C"/>
    <w:rsid w:val="0030123F"/>
    <w:rsid w:val="003014DC"/>
    <w:rsid w:val="00311F7A"/>
    <w:rsid w:val="00315557"/>
    <w:rsid w:val="00325CB8"/>
    <w:rsid w:val="00333E30"/>
    <w:rsid w:val="00347B40"/>
    <w:rsid w:val="00350143"/>
    <w:rsid w:val="003504DA"/>
    <w:rsid w:val="00355691"/>
    <w:rsid w:val="0036236E"/>
    <w:rsid w:val="003671FF"/>
    <w:rsid w:val="00371890"/>
    <w:rsid w:val="003755D2"/>
    <w:rsid w:val="00382899"/>
    <w:rsid w:val="003845CA"/>
    <w:rsid w:val="0038520C"/>
    <w:rsid w:val="003A7854"/>
    <w:rsid w:val="003B0CF1"/>
    <w:rsid w:val="003B33BD"/>
    <w:rsid w:val="003B5022"/>
    <w:rsid w:val="003C0CC5"/>
    <w:rsid w:val="003C4F50"/>
    <w:rsid w:val="003C54DC"/>
    <w:rsid w:val="003C70E8"/>
    <w:rsid w:val="003D6882"/>
    <w:rsid w:val="003E2042"/>
    <w:rsid w:val="003F499F"/>
    <w:rsid w:val="004001AA"/>
    <w:rsid w:val="00406140"/>
    <w:rsid w:val="00412998"/>
    <w:rsid w:val="00416D81"/>
    <w:rsid w:val="004179D8"/>
    <w:rsid w:val="004456B8"/>
    <w:rsid w:val="00451EB3"/>
    <w:rsid w:val="00455F7E"/>
    <w:rsid w:val="00456D45"/>
    <w:rsid w:val="00467812"/>
    <w:rsid w:val="00470A0B"/>
    <w:rsid w:val="00473EC4"/>
    <w:rsid w:val="00474BF5"/>
    <w:rsid w:val="00483D16"/>
    <w:rsid w:val="004B667C"/>
    <w:rsid w:val="004C3442"/>
    <w:rsid w:val="004D3F8F"/>
    <w:rsid w:val="004D7722"/>
    <w:rsid w:val="004E1E5F"/>
    <w:rsid w:val="004E73E4"/>
    <w:rsid w:val="004F7119"/>
    <w:rsid w:val="004F782D"/>
    <w:rsid w:val="00516AE6"/>
    <w:rsid w:val="00520B12"/>
    <w:rsid w:val="005220B3"/>
    <w:rsid w:val="005258CA"/>
    <w:rsid w:val="00525DC9"/>
    <w:rsid w:val="005276E5"/>
    <w:rsid w:val="005317B4"/>
    <w:rsid w:val="005325EE"/>
    <w:rsid w:val="00542657"/>
    <w:rsid w:val="00545AB6"/>
    <w:rsid w:val="00546070"/>
    <w:rsid w:val="0055538B"/>
    <w:rsid w:val="005820EF"/>
    <w:rsid w:val="00583DAE"/>
    <w:rsid w:val="0059296F"/>
    <w:rsid w:val="00595547"/>
    <w:rsid w:val="005A543D"/>
    <w:rsid w:val="005B0B77"/>
    <w:rsid w:val="005B1BE5"/>
    <w:rsid w:val="005B3F78"/>
    <w:rsid w:val="005B6A5D"/>
    <w:rsid w:val="005B707D"/>
    <w:rsid w:val="005C0F38"/>
    <w:rsid w:val="005C43FF"/>
    <w:rsid w:val="005C4794"/>
    <w:rsid w:val="005C6435"/>
    <w:rsid w:val="005C71CF"/>
    <w:rsid w:val="005E1C5D"/>
    <w:rsid w:val="005E20BD"/>
    <w:rsid w:val="005E6B6C"/>
    <w:rsid w:val="005F390F"/>
    <w:rsid w:val="005F3BDC"/>
    <w:rsid w:val="005F4740"/>
    <w:rsid w:val="006336EB"/>
    <w:rsid w:val="006470EF"/>
    <w:rsid w:val="00657D93"/>
    <w:rsid w:val="00670223"/>
    <w:rsid w:val="00673CE3"/>
    <w:rsid w:val="00674C42"/>
    <w:rsid w:val="006810EE"/>
    <w:rsid w:val="0069232B"/>
    <w:rsid w:val="00695BB2"/>
    <w:rsid w:val="006B1C20"/>
    <w:rsid w:val="006C2F1D"/>
    <w:rsid w:val="006C626E"/>
    <w:rsid w:val="006D6E0D"/>
    <w:rsid w:val="006E2BAD"/>
    <w:rsid w:val="006F2A73"/>
    <w:rsid w:val="00712778"/>
    <w:rsid w:val="00717CE1"/>
    <w:rsid w:val="00747027"/>
    <w:rsid w:val="00762B22"/>
    <w:rsid w:val="00765FBB"/>
    <w:rsid w:val="007800FC"/>
    <w:rsid w:val="007843B7"/>
    <w:rsid w:val="00786704"/>
    <w:rsid w:val="007A02A5"/>
    <w:rsid w:val="007C2C03"/>
    <w:rsid w:val="007C3517"/>
    <w:rsid w:val="007D0C00"/>
    <w:rsid w:val="007E3051"/>
    <w:rsid w:val="007E38CC"/>
    <w:rsid w:val="007E6BD3"/>
    <w:rsid w:val="007F1A72"/>
    <w:rsid w:val="00801D91"/>
    <w:rsid w:val="0081744F"/>
    <w:rsid w:val="0082524C"/>
    <w:rsid w:val="00831554"/>
    <w:rsid w:val="00832A78"/>
    <w:rsid w:val="008360D3"/>
    <w:rsid w:val="0083705A"/>
    <w:rsid w:val="0084680C"/>
    <w:rsid w:val="00857326"/>
    <w:rsid w:val="0086223B"/>
    <w:rsid w:val="00892B5A"/>
    <w:rsid w:val="00893567"/>
    <w:rsid w:val="0089616F"/>
    <w:rsid w:val="008A2321"/>
    <w:rsid w:val="008A4369"/>
    <w:rsid w:val="008A59C1"/>
    <w:rsid w:val="008B0E33"/>
    <w:rsid w:val="008B2F2D"/>
    <w:rsid w:val="008B7277"/>
    <w:rsid w:val="008D09B4"/>
    <w:rsid w:val="008D4376"/>
    <w:rsid w:val="008E7093"/>
    <w:rsid w:val="008F6ABA"/>
    <w:rsid w:val="008F6B2D"/>
    <w:rsid w:val="009033BC"/>
    <w:rsid w:val="00907A23"/>
    <w:rsid w:val="0092162B"/>
    <w:rsid w:val="009270A4"/>
    <w:rsid w:val="009361D5"/>
    <w:rsid w:val="0094041B"/>
    <w:rsid w:val="00956348"/>
    <w:rsid w:val="00962E4B"/>
    <w:rsid w:val="0096781A"/>
    <w:rsid w:val="0097325A"/>
    <w:rsid w:val="00974287"/>
    <w:rsid w:val="009804AA"/>
    <w:rsid w:val="00980D6A"/>
    <w:rsid w:val="00992094"/>
    <w:rsid w:val="00993C03"/>
    <w:rsid w:val="00996004"/>
    <w:rsid w:val="009A4E1C"/>
    <w:rsid w:val="009A5137"/>
    <w:rsid w:val="009B029C"/>
    <w:rsid w:val="009B1F06"/>
    <w:rsid w:val="009B2404"/>
    <w:rsid w:val="009B2E18"/>
    <w:rsid w:val="009C29A3"/>
    <w:rsid w:val="009E443F"/>
    <w:rsid w:val="009F1BC4"/>
    <w:rsid w:val="009F4A34"/>
    <w:rsid w:val="009F72CE"/>
    <w:rsid w:val="00A1537A"/>
    <w:rsid w:val="00A32157"/>
    <w:rsid w:val="00A40F12"/>
    <w:rsid w:val="00A46213"/>
    <w:rsid w:val="00A51314"/>
    <w:rsid w:val="00A523C2"/>
    <w:rsid w:val="00A529C7"/>
    <w:rsid w:val="00A60821"/>
    <w:rsid w:val="00A60AB0"/>
    <w:rsid w:val="00A87242"/>
    <w:rsid w:val="00AA05A8"/>
    <w:rsid w:val="00AA71FD"/>
    <w:rsid w:val="00AB29C6"/>
    <w:rsid w:val="00AC2926"/>
    <w:rsid w:val="00AC63AC"/>
    <w:rsid w:val="00AC6589"/>
    <w:rsid w:val="00AD3226"/>
    <w:rsid w:val="00AD5328"/>
    <w:rsid w:val="00AD7690"/>
    <w:rsid w:val="00AE4663"/>
    <w:rsid w:val="00AE4B8B"/>
    <w:rsid w:val="00B009D2"/>
    <w:rsid w:val="00B1314F"/>
    <w:rsid w:val="00B16590"/>
    <w:rsid w:val="00B47CD5"/>
    <w:rsid w:val="00B610AF"/>
    <w:rsid w:val="00B67AE2"/>
    <w:rsid w:val="00B73C80"/>
    <w:rsid w:val="00B83301"/>
    <w:rsid w:val="00B9046F"/>
    <w:rsid w:val="00B9664E"/>
    <w:rsid w:val="00BA3145"/>
    <w:rsid w:val="00BB10A4"/>
    <w:rsid w:val="00BB7074"/>
    <w:rsid w:val="00BC02C5"/>
    <w:rsid w:val="00BC092E"/>
    <w:rsid w:val="00BC1225"/>
    <w:rsid w:val="00BE55F2"/>
    <w:rsid w:val="00BE7BC7"/>
    <w:rsid w:val="00BF0071"/>
    <w:rsid w:val="00BF2258"/>
    <w:rsid w:val="00C037CD"/>
    <w:rsid w:val="00C0723B"/>
    <w:rsid w:val="00C124E7"/>
    <w:rsid w:val="00C25C89"/>
    <w:rsid w:val="00C31546"/>
    <w:rsid w:val="00C34378"/>
    <w:rsid w:val="00C34D06"/>
    <w:rsid w:val="00C3763F"/>
    <w:rsid w:val="00C41662"/>
    <w:rsid w:val="00C42814"/>
    <w:rsid w:val="00C63B8D"/>
    <w:rsid w:val="00C73FC1"/>
    <w:rsid w:val="00C74F3A"/>
    <w:rsid w:val="00C774B9"/>
    <w:rsid w:val="00C82EAB"/>
    <w:rsid w:val="00CA1C4D"/>
    <w:rsid w:val="00CA45E3"/>
    <w:rsid w:val="00CA5435"/>
    <w:rsid w:val="00CC259E"/>
    <w:rsid w:val="00CC7A85"/>
    <w:rsid w:val="00CD39A4"/>
    <w:rsid w:val="00CD53FE"/>
    <w:rsid w:val="00CD5621"/>
    <w:rsid w:val="00CE0A91"/>
    <w:rsid w:val="00CE471C"/>
    <w:rsid w:val="00CE5534"/>
    <w:rsid w:val="00CF45FE"/>
    <w:rsid w:val="00D11B12"/>
    <w:rsid w:val="00D26EC0"/>
    <w:rsid w:val="00D37436"/>
    <w:rsid w:val="00D37EE0"/>
    <w:rsid w:val="00D37F81"/>
    <w:rsid w:val="00D422DD"/>
    <w:rsid w:val="00D43623"/>
    <w:rsid w:val="00D4444C"/>
    <w:rsid w:val="00D5153C"/>
    <w:rsid w:val="00D578A0"/>
    <w:rsid w:val="00D625DF"/>
    <w:rsid w:val="00D642D8"/>
    <w:rsid w:val="00D804C7"/>
    <w:rsid w:val="00D85415"/>
    <w:rsid w:val="00D858E5"/>
    <w:rsid w:val="00D95964"/>
    <w:rsid w:val="00D96675"/>
    <w:rsid w:val="00DA0F07"/>
    <w:rsid w:val="00DA1BBF"/>
    <w:rsid w:val="00DA22CA"/>
    <w:rsid w:val="00DA250B"/>
    <w:rsid w:val="00DA3D22"/>
    <w:rsid w:val="00DA3ED9"/>
    <w:rsid w:val="00DB2887"/>
    <w:rsid w:val="00DB5207"/>
    <w:rsid w:val="00DC6291"/>
    <w:rsid w:val="00DD17F5"/>
    <w:rsid w:val="00DD33F4"/>
    <w:rsid w:val="00DD4FFF"/>
    <w:rsid w:val="00DE2DEC"/>
    <w:rsid w:val="00DE6DB6"/>
    <w:rsid w:val="00DF2976"/>
    <w:rsid w:val="00E06AA1"/>
    <w:rsid w:val="00E173FC"/>
    <w:rsid w:val="00E2546E"/>
    <w:rsid w:val="00E41E55"/>
    <w:rsid w:val="00E42A43"/>
    <w:rsid w:val="00E5517F"/>
    <w:rsid w:val="00E553D7"/>
    <w:rsid w:val="00E66EAC"/>
    <w:rsid w:val="00E8312A"/>
    <w:rsid w:val="00E95C73"/>
    <w:rsid w:val="00EA10FA"/>
    <w:rsid w:val="00EC2AE4"/>
    <w:rsid w:val="00ED3A8D"/>
    <w:rsid w:val="00ED3B9F"/>
    <w:rsid w:val="00EE7E65"/>
    <w:rsid w:val="00EF3749"/>
    <w:rsid w:val="00EF5ADC"/>
    <w:rsid w:val="00F01508"/>
    <w:rsid w:val="00F02130"/>
    <w:rsid w:val="00F16C6A"/>
    <w:rsid w:val="00F2108C"/>
    <w:rsid w:val="00F309AC"/>
    <w:rsid w:val="00F504D6"/>
    <w:rsid w:val="00F5200B"/>
    <w:rsid w:val="00F522B7"/>
    <w:rsid w:val="00F55E10"/>
    <w:rsid w:val="00F60377"/>
    <w:rsid w:val="00F738AE"/>
    <w:rsid w:val="00F77856"/>
    <w:rsid w:val="00F93907"/>
    <w:rsid w:val="00FA22E3"/>
    <w:rsid w:val="00FA5063"/>
    <w:rsid w:val="00FA6565"/>
    <w:rsid w:val="00FB6692"/>
    <w:rsid w:val="00FC01A9"/>
    <w:rsid w:val="00FE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6244-B3A3-4F4C-BB2B-84D42FE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8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E0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E1C5D"/>
    <w:rPr>
      <w:color w:val="0000FF"/>
      <w:u w:val="single"/>
    </w:rPr>
  </w:style>
  <w:style w:type="paragraph" w:customStyle="1" w:styleId="Default">
    <w:name w:val="Default"/>
    <w:rsid w:val="00CA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755D2"/>
    <w:pPr>
      <w:ind w:left="720"/>
      <w:contextualSpacing/>
    </w:pPr>
  </w:style>
  <w:style w:type="table" w:styleId="a8">
    <w:name w:val="Table Grid"/>
    <w:basedOn w:val="a1"/>
    <w:uiPriority w:val="59"/>
    <w:rsid w:val="007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F2CF7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765F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6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3204-B2BB-45EA-8795-46D79C33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cp:lastPrinted>2020-04-16T05:38:00Z</cp:lastPrinted>
  <dcterms:created xsi:type="dcterms:W3CDTF">2023-06-04T05:09:00Z</dcterms:created>
  <dcterms:modified xsi:type="dcterms:W3CDTF">2023-06-04T05:09:00Z</dcterms:modified>
</cp:coreProperties>
</file>